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36AAE" w14:textId="3C830DE2" w:rsidR="003F01B3" w:rsidRPr="00B266B0" w:rsidRDefault="003F01B3" w:rsidP="003F01B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6A76FF">
        <w:rPr>
          <w:bCs/>
          <w:noProof w:val="0"/>
          <w:sz w:val="24"/>
          <w:szCs w:val="24"/>
        </w:rPr>
        <w:t>3169</w:t>
      </w:r>
    </w:p>
    <w:p w14:paraId="11776FA6" w14:textId="34822243" w:rsidR="00A209D6" w:rsidRPr="007438C6" w:rsidRDefault="003F01B3" w:rsidP="003F01B3">
      <w:pPr>
        <w:pStyle w:val="Header"/>
        <w:tabs>
          <w:tab w:val="right" w:pos="9639"/>
        </w:tabs>
        <w:jc w:val="both"/>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sidRPr="007438C6">
        <w:rPr>
          <w:rFonts w:eastAsia="SimSun"/>
          <w:noProof w:val="0"/>
          <w:sz w:val="24"/>
          <w:szCs w:val="24"/>
          <w:lang w:eastAsia="zh-CN"/>
        </w:rPr>
        <w:tab/>
      </w:r>
    </w:p>
    <w:p w14:paraId="2E02E5F5" w14:textId="77777777" w:rsidR="00A209D6" w:rsidRPr="007438C6" w:rsidRDefault="00A209D6" w:rsidP="00D52BE2">
      <w:pPr>
        <w:pStyle w:val="Header"/>
        <w:jc w:val="both"/>
        <w:rPr>
          <w:bCs/>
          <w:noProof w:val="0"/>
          <w:sz w:val="24"/>
        </w:rPr>
      </w:pPr>
    </w:p>
    <w:p w14:paraId="403CB9C0" w14:textId="77777777" w:rsidR="00A209D6" w:rsidRPr="007438C6" w:rsidRDefault="00A209D6" w:rsidP="00D52BE2">
      <w:pPr>
        <w:pStyle w:val="Header"/>
        <w:jc w:val="both"/>
        <w:rPr>
          <w:bCs/>
          <w:noProof w:val="0"/>
          <w:sz w:val="24"/>
        </w:rPr>
      </w:pPr>
    </w:p>
    <w:p w14:paraId="310B92C9" w14:textId="0AB87584" w:rsidR="00446C3A" w:rsidRPr="007438C6" w:rsidRDefault="00446C3A" w:rsidP="00D52BE2">
      <w:pPr>
        <w:pStyle w:val="CRCoverPage"/>
        <w:tabs>
          <w:tab w:val="left" w:pos="1985"/>
        </w:tabs>
        <w:jc w:val="both"/>
        <w:rPr>
          <w:rFonts w:cs="Arial"/>
          <w:b/>
          <w:bCs/>
          <w:sz w:val="24"/>
          <w:lang w:eastAsia="ja-JP"/>
        </w:rPr>
      </w:pPr>
      <w:r w:rsidRPr="007438C6">
        <w:rPr>
          <w:rFonts w:cs="Arial"/>
          <w:b/>
          <w:bCs/>
          <w:sz w:val="24"/>
        </w:rPr>
        <w:t>Agenda item:</w:t>
      </w:r>
      <w:r w:rsidRPr="007438C6">
        <w:rPr>
          <w:rFonts w:cs="Arial"/>
          <w:b/>
          <w:bCs/>
          <w:sz w:val="24"/>
        </w:rPr>
        <w:tab/>
      </w:r>
      <w:r w:rsidR="00B166B8">
        <w:rPr>
          <w:rFonts w:cs="Arial"/>
          <w:b/>
          <w:bCs/>
          <w:sz w:val="24"/>
          <w:lang w:eastAsia="ja-JP"/>
        </w:rPr>
        <w:t>7.7.4.1.2</w:t>
      </w:r>
    </w:p>
    <w:p w14:paraId="73188B46" w14:textId="77777777" w:rsidR="00446C3A" w:rsidRPr="007438C6" w:rsidRDefault="00446C3A" w:rsidP="00D52BE2">
      <w:pPr>
        <w:tabs>
          <w:tab w:val="left" w:pos="1985"/>
        </w:tabs>
        <w:ind w:left="1985" w:hanging="1985"/>
        <w:jc w:val="both"/>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2B9D626E" w:rsidR="00446C3A" w:rsidRPr="007438C6" w:rsidRDefault="00446C3A" w:rsidP="00D52BE2">
      <w:pPr>
        <w:ind w:left="1985" w:hanging="1985"/>
        <w:jc w:val="both"/>
        <w:rPr>
          <w:rFonts w:ascii="Arial" w:hAnsi="Arial" w:cs="Arial"/>
          <w:b/>
          <w:bCs/>
          <w:sz w:val="24"/>
        </w:rPr>
      </w:pPr>
      <w:r w:rsidRPr="007438C6">
        <w:rPr>
          <w:rFonts w:ascii="Arial" w:hAnsi="Arial" w:cs="Arial"/>
          <w:b/>
          <w:bCs/>
          <w:sz w:val="24"/>
        </w:rPr>
        <w:t>Title:</w:t>
      </w:r>
      <w:r w:rsidRPr="007438C6">
        <w:rPr>
          <w:rFonts w:ascii="Arial" w:hAnsi="Arial" w:cs="Arial"/>
          <w:b/>
          <w:bCs/>
          <w:sz w:val="24"/>
        </w:rPr>
        <w:tab/>
      </w:r>
      <w:r w:rsidR="006A76FF" w:rsidRPr="006A76FF">
        <w:rPr>
          <w:rFonts w:ascii="Arial" w:hAnsi="Arial" w:cs="Arial"/>
          <w:b/>
          <w:bCs/>
          <w:sz w:val="24"/>
        </w:rPr>
        <w:t>On NTN-NTN Reselections in EMC</w:t>
      </w:r>
    </w:p>
    <w:p w14:paraId="25F387E8" w14:textId="30FD237C" w:rsidR="00446C3A" w:rsidRPr="007438C6" w:rsidRDefault="00446C3A" w:rsidP="00D52BE2">
      <w:pPr>
        <w:ind w:left="1985" w:hanging="1985"/>
        <w:jc w:val="both"/>
        <w:rPr>
          <w:rFonts w:ascii="Arial" w:hAnsi="Arial" w:cs="Arial"/>
          <w:b/>
          <w:bCs/>
          <w:sz w:val="24"/>
        </w:rPr>
      </w:pPr>
      <w:r w:rsidRPr="007438C6">
        <w:rPr>
          <w:rFonts w:ascii="Arial" w:hAnsi="Arial" w:cs="Arial"/>
          <w:b/>
          <w:bCs/>
          <w:sz w:val="24"/>
        </w:rPr>
        <w:t>WID/SID:</w:t>
      </w:r>
      <w:r w:rsidRPr="007438C6">
        <w:rPr>
          <w:rFonts w:ascii="Arial" w:hAnsi="Arial" w:cs="Arial"/>
          <w:b/>
          <w:bCs/>
          <w:sz w:val="24"/>
        </w:rPr>
        <w:tab/>
      </w:r>
      <w:proofErr w:type="spellStart"/>
      <w:r w:rsidR="009603BA" w:rsidRPr="009603BA">
        <w:rPr>
          <w:rFonts w:ascii="Arial" w:hAnsi="Arial" w:cs="Arial"/>
          <w:b/>
          <w:bCs/>
          <w:sz w:val="24"/>
        </w:rPr>
        <w:t>NR_NTN_enh</w:t>
      </w:r>
      <w:proofErr w:type="spellEnd"/>
      <w:r w:rsidR="009603BA" w:rsidRPr="009603BA" w:rsidDel="009603BA">
        <w:rPr>
          <w:rFonts w:ascii="Arial" w:hAnsi="Arial" w:cs="Arial"/>
          <w:b/>
          <w:bCs/>
          <w:sz w:val="24"/>
        </w:rPr>
        <w:t xml:space="preserve">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D52BE2">
      <w:pPr>
        <w:tabs>
          <w:tab w:val="left" w:pos="1985"/>
        </w:tabs>
        <w:jc w:val="both"/>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D52BE2">
      <w:pPr>
        <w:pStyle w:val="Heading1"/>
        <w:jc w:val="both"/>
      </w:pPr>
      <w:r w:rsidRPr="007438C6">
        <w:t>1</w:t>
      </w:r>
      <w:r w:rsidRPr="007438C6">
        <w:tab/>
        <w:t>Introduction</w:t>
      </w:r>
    </w:p>
    <w:p w14:paraId="2F0B5B19" w14:textId="77777777" w:rsidR="00643FD0" w:rsidRDefault="00643FD0" w:rsidP="00D52BE2">
      <w:pPr>
        <w:jc w:val="both"/>
      </w:pPr>
      <w:r>
        <w:t xml:space="preserve">The following WI objective has been agreed for Rel-18 NTN WI </w:t>
      </w:r>
      <w:r>
        <w:rPr>
          <w:rFonts w:cs="Arial"/>
        </w:rPr>
        <w:fldChar w:fldCharType="begin"/>
      </w:r>
      <w:r>
        <w:rPr>
          <w:rFonts w:cs="Arial"/>
        </w:rPr>
        <w:instrText xml:space="preserve"> REF _Ref109128637 \r \h  \* MERGEFORMAT </w:instrText>
      </w:r>
      <w:r>
        <w:rPr>
          <w:rFonts w:cs="Arial"/>
        </w:rPr>
      </w:r>
      <w:r>
        <w:rPr>
          <w:rFonts w:cs="Arial"/>
        </w:rPr>
        <w:fldChar w:fldCharType="separate"/>
      </w:r>
      <w:r>
        <w:rPr>
          <w:rFonts w:cs="Arial"/>
        </w:rPr>
        <w:t>[1]</w:t>
      </w:r>
      <w:r>
        <w:rPr>
          <w:rFonts w:cs="Arial"/>
        </w:rPr>
        <w:fldChar w:fldCharType="end"/>
      </w:r>
      <w:r>
        <w:t>:</w:t>
      </w:r>
    </w:p>
    <w:tbl>
      <w:tblPr>
        <w:tblStyle w:val="TableGrid"/>
        <w:tblW w:w="0" w:type="auto"/>
        <w:tblLook w:val="04A0" w:firstRow="1" w:lastRow="0" w:firstColumn="1" w:lastColumn="0" w:noHBand="0" w:noVBand="1"/>
      </w:tblPr>
      <w:tblGrid>
        <w:gridCol w:w="9631"/>
      </w:tblGrid>
      <w:tr w:rsidR="00643FD0" w14:paraId="43D21E88" w14:textId="77777777" w:rsidTr="00643FD0">
        <w:tc>
          <w:tcPr>
            <w:tcW w:w="9631" w:type="dxa"/>
            <w:tcBorders>
              <w:top w:val="single" w:sz="4" w:space="0" w:color="auto"/>
              <w:left w:val="single" w:sz="4" w:space="0" w:color="auto"/>
              <w:bottom w:val="single" w:sz="4" w:space="0" w:color="auto"/>
              <w:right w:val="single" w:sz="4" w:space="0" w:color="auto"/>
            </w:tcBorders>
            <w:hideMark/>
          </w:tcPr>
          <w:p w14:paraId="61B2A24D" w14:textId="77777777" w:rsidR="00643FD0" w:rsidRDefault="00643FD0" w:rsidP="00D52BE2">
            <w:pPr>
              <w:jc w:val="both"/>
              <w:rPr>
                <w:rFonts w:eastAsia="Calibri"/>
                <w:lang w:val="en-US" w:eastAsia="en-GB"/>
              </w:rPr>
            </w:pPr>
            <w:r>
              <w:rPr>
                <w:rFonts w:eastAsia="Calibri"/>
                <w:lang w:val="en-US" w:eastAsia="en-GB"/>
              </w:rPr>
              <w:t>4.1.4</w:t>
            </w:r>
            <w:r>
              <w:rPr>
                <w:lang w:val="en-US" w:eastAsia="en-GB"/>
              </w:rPr>
              <w:tab/>
            </w:r>
            <w:r>
              <w:rPr>
                <w:rFonts w:eastAsia="Calibri"/>
                <w:lang w:val="en-US" w:eastAsia="en-GB"/>
              </w:rPr>
              <w:t>NTN-TN and NTN-NTN mobility and service continuity enhancements</w:t>
            </w:r>
          </w:p>
          <w:p w14:paraId="1D09441C" w14:textId="77777777" w:rsidR="00643FD0" w:rsidRDefault="00643FD0" w:rsidP="00D52BE2">
            <w:pPr>
              <w:jc w:val="both"/>
              <w:rPr>
                <w:rFonts w:eastAsia="Calibri"/>
                <w:lang w:val="en-US" w:eastAsia="en-GB"/>
              </w:rPr>
            </w:pPr>
            <w:r>
              <w:rPr>
                <w:rFonts w:eastAsia="Calibri"/>
                <w:lang w:val="en-US" w:eastAsia="en-GB"/>
              </w:rPr>
              <w:t>This work considers existing methods from NR TN as well as outcome of Rel-17 NR NTN WI outcome as baseline for NTN-TN mobility.</w:t>
            </w:r>
          </w:p>
          <w:p w14:paraId="07869B60" w14:textId="77777777" w:rsidR="00643FD0" w:rsidRDefault="00643FD0" w:rsidP="00D52BE2">
            <w:pPr>
              <w:jc w:val="both"/>
              <w:rPr>
                <w:rFonts w:eastAsia="Calibri"/>
                <w:lang w:val="en-US" w:eastAsia="en-GB"/>
              </w:rPr>
            </w:pPr>
            <w:r>
              <w:rPr>
                <w:rFonts w:eastAsia="Calibri"/>
                <w:lang w:val="en-US" w:eastAsia="en-GB"/>
              </w:rPr>
              <w:t xml:space="preserve"> Specify NTN-TN and NTN-NTN measurement/mobility and service continuity enhancements [RAN</w:t>
            </w:r>
            <w:proofErr w:type="gramStart"/>
            <w:r>
              <w:rPr>
                <w:rFonts w:eastAsia="Calibri"/>
                <w:lang w:val="en-US" w:eastAsia="en-GB"/>
              </w:rPr>
              <w:t>2,RAN</w:t>
            </w:r>
            <w:proofErr w:type="gramEnd"/>
            <w:r>
              <w:rPr>
                <w:rFonts w:eastAsia="Calibri"/>
                <w:lang w:val="en-US" w:eastAsia="en-GB"/>
              </w:rPr>
              <w:t>3,RAN4]</w:t>
            </w:r>
          </w:p>
          <w:p w14:paraId="52036400" w14:textId="77777777" w:rsidR="00643FD0" w:rsidRDefault="00643FD0" w:rsidP="00D52BE2">
            <w:pPr>
              <w:pStyle w:val="ListParagraph"/>
              <w:numPr>
                <w:ilvl w:val="1"/>
                <w:numId w:val="15"/>
              </w:numPr>
              <w:jc w:val="both"/>
              <w:rPr>
                <w:lang w:val="en-US" w:eastAsia="en-GB"/>
              </w:rPr>
            </w:pPr>
            <w:r>
              <w:rPr>
                <w:rFonts w:eastAsia="Calibri"/>
                <w:lang w:val="en-US" w:eastAsia="en-GB"/>
              </w:rPr>
              <w:t>For NTN-NTN mobility, specify cell reselection enhancements for earth moving cell, the timing based and location-based cell reselection for quasi-earth fixed cell in Rel-17 can be considered as the starting point. [RAN2, RAN3, RAN4]</w:t>
            </w:r>
          </w:p>
          <w:p w14:paraId="672041B1" w14:textId="77777777" w:rsidR="00643FD0" w:rsidRDefault="00643FD0" w:rsidP="00D52BE2">
            <w:pPr>
              <w:pStyle w:val="ListParagraph"/>
              <w:numPr>
                <w:ilvl w:val="1"/>
                <w:numId w:val="15"/>
              </w:numPr>
              <w:jc w:val="both"/>
              <w:rPr>
                <w:lang w:val="en-US" w:eastAsia="en-GB"/>
              </w:rPr>
            </w:pPr>
            <w:r>
              <w:rPr>
                <w:rFonts w:eastAsia="Calibri"/>
                <w:lang w:val="en-US" w:eastAsia="en-GB"/>
              </w:rPr>
              <w:t xml:space="preserve">Specify NTN-NTN handover enhancement for RRC_CONNECTED UEs in the quasi-earth-fixed cell and earth-moving cell to reduce the </w:t>
            </w:r>
            <w:proofErr w:type="spellStart"/>
            <w:r>
              <w:rPr>
                <w:rFonts w:eastAsia="Calibri"/>
                <w:lang w:val="en-US" w:eastAsia="en-GB"/>
              </w:rPr>
              <w:t>signalling</w:t>
            </w:r>
            <w:proofErr w:type="spellEnd"/>
            <w:r>
              <w:rPr>
                <w:rFonts w:eastAsia="Calibri"/>
                <w:lang w:val="en-US" w:eastAsia="en-GB"/>
              </w:rPr>
              <w:t xml:space="preserve"> overhead. [RAN2, RAN3]</w:t>
            </w:r>
          </w:p>
          <w:p w14:paraId="5B852081" w14:textId="77777777" w:rsidR="00643FD0" w:rsidRDefault="00643FD0" w:rsidP="00D52BE2">
            <w:pPr>
              <w:pStyle w:val="ListParagraph"/>
              <w:numPr>
                <w:ilvl w:val="1"/>
                <w:numId w:val="15"/>
              </w:numPr>
              <w:jc w:val="both"/>
              <w:rPr>
                <w:lang w:val="en-US" w:eastAsia="en-GB"/>
              </w:rPr>
            </w:pPr>
            <w:r>
              <w:rPr>
                <w:rFonts w:eastAsia="Calibri"/>
                <w:lang w:val="en-US" w:eastAsia="en-GB"/>
              </w:rPr>
              <w:t>Specify cell reselection enhancements for RRC_IDLE/INACTIVE UEs to reduce UE power consumption (NTN-TN mobility is prioritized). [RAN2, RAN3, RAN4]</w:t>
            </w:r>
          </w:p>
          <w:p w14:paraId="1D3CE2B6" w14:textId="77777777" w:rsidR="00643FD0" w:rsidRDefault="00643FD0" w:rsidP="00D52BE2">
            <w:pPr>
              <w:pStyle w:val="ListParagraph"/>
              <w:numPr>
                <w:ilvl w:val="1"/>
                <w:numId w:val="15"/>
              </w:numPr>
              <w:jc w:val="both"/>
              <w:rPr>
                <w:lang w:eastAsia="en-GB"/>
              </w:rPr>
            </w:pPr>
            <w:r>
              <w:rPr>
                <w:rFonts w:eastAsia="Calibri"/>
                <w:lang w:val="en-US" w:eastAsia="en-GB"/>
              </w:rPr>
              <w:t xml:space="preserve">Study and, if needed, specify enhancement to </w:t>
            </w:r>
            <w:proofErr w:type="spellStart"/>
            <w:r>
              <w:rPr>
                <w:rFonts w:eastAsia="Calibri"/>
                <w:lang w:val="en-US" w:eastAsia="en-GB"/>
              </w:rPr>
              <w:t>Xn</w:t>
            </w:r>
            <w:proofErr w:type="spellEnd"/>
            <w:r>
              <w:rPr>
                <w:rFonts w:eastAsia="Calibri"/>
                <w:lang w:val="en-US" w:eastAsia="en-GB"/>
              </w:rPr>
              <w:t xml:space="preserve">[/NG] </w:t>
            </w:r>
            <w:proofErr w:type="spellStart"/>
            <w:r>
              <w:rPr>
                <w:rFonts w:eastAsia="Calibri"/>
                <w:lang w:val="en-US" w:eastAsia="en-GB"/>
              </w:rPr>
              <w:t>signalling</w:t>
            </w:r>
            <w:proofErr w:type="spellEnd"/>
            <w:r>
              <w:rPr>
                <w:rFonts w:eastAsia="Calibri"/>
                <w:lang w:val="en-US" w:eastAsia="en-GB"/>
              </w:rPr>
              <w:t xml:space="preserve"> to support feeder link switch-over, CHO, </w:t>
            </w:r>
            <w:proofErr w:type="gramStart"/>
            <w:r>
              <w:rPr>
                <w:rFonts w:eastAsia="Calibri"/>
                <w:lang w:val="en-US" w:eastAsia="en-GB"/>
              </w:rPr>
              <w:t>e.g.</w:t>
            </w:r>
            <w:proofErr w:type="gramEnd"/>
            <w:r>
              <w:rPr>
                <w:rFonts w:eastAsia="Calibri"/>
                <w:lang w:val="en-US" w:eastAsia="en-GB"/>
              </w:rPr>
              <w:t xml:space="preserve"> exchange of necessary information between </w:t>
            </w:r>
            <w:proofErr w:type="spellStart"/>
            <w:r>
              <w:rPr>
                <w:rFonts w:eastAsia="Calibri"/>
                <w:lang w:val="en-US" w:eastAsia="en-GB"/>
              </w:rPr>
              <w:t>gNBs</w:t>
            </w:r>
            <w:proofErr w:type="spellEnd"/>
            <w:r>
              <w:rPr>
                <w:rFonts w:eastAsia="Calibri"/>
                <w:lang w:val="en-US" w:eastAsia="en-GB"/>
              </w:rPr>
              <w:t>. [RAN3]</w:t>
            </w:r>
          </w:p>
        </w:tc>
      </w:tr>
    </w:tbl>
    <w:p w14:paraId="53A24C17" w14:textId="1AE2D0C2" w:rsidR="00DA40B5" w:rsidRDefault="00881DE2" w:rsidP="00DA40B5">
      <w:pPr>
        <w:jc w:val="both"/>
        <w:rPr>
          <w:lang w:val="en-US"/>
        </w:rPr>
      </w:pPr>
      <w:r>
        <w:rPr>
          <w:lang w:val="en-US"/>
        </w:rPr>
        <w:br/>
      </w:r>
      <w:r w:rsidR="00DA40B5">
        <w:rPr>
          <w:lang w:val="en-US"/>
        </w:rPr>
        <w:t xml:space="preserve">The following </w:t>
      </w:r>
      <w:r w:rsidR="0049196F">
        <w:rPr>
          <w:lang w:val="en-US"/>
        </w:rPr>
        <w:t xml:space="preserve">associated </w:t>
      </w:r>
      <w:r w:rsidR="00DA40B5">
        <w:rPr>
          <w:lang w:val="en-US"/>
        </w:rPr>
        <w:t>agreements were made at RAN</w:t>
      </w:r>
      <w:r w:rsidR="0049196F">
        <w:rPr>
          <w:lang w:val="en-US"/>
        </w:rPr>
        <w:t>2</w:t>
      </w:r>
      <w:r w:rsidR="00DA40B5">
        <w:rPr>
          <w:lang w:val="en-US"/>
        </w:rPr>
        <w:t>#121</w:t>
      </w:r>
      <w:r w:rsidR="0049196F">
        <w:rPr>
          <w:lang w:val="en-US"/>
        </w:rPr>
        <w:t xml:space="preserve"> </w:t>
      </w:r>
      <w:r w:rsidR="00F610C1">
        <w:rPr>
          <w:lang w:val="en-US"/>
        </w:rPr>
        <w:fldChar w:fldCharType="begin"/>
      </w:r>
      <w:r w:rsidR="00F610C1">
        <w:rPr>
          <w:lang w:val="en-US"/>
        </w:rPr>
        <w:instrText xml:space="preserve"> REF _Ref131150281 \r \h </w:instrText>
      </w:r>
      <w:r w:rsidR="00F610C1">
        <w:rPr>
          <w:lang w:val="en-US"/>
        </w:rPr>
      </w:r>
      <w:r w:rsidR="00F610C1">
        <w:rPr>
          <w:lang w:val="en-US"/>
        </w:rPr>
        <w:fldChar w:fldCharType="separate"/>
      </w:r>
      <w:r w:rsidR="00F610C1">
        <w:rPr>
          <w:lang w:val="en-US"/>
        </w:rPr>
        <w:t>[2]</w:t>
      </w:r>
      <w:r w:rsidR="00F610C1">
        <w:rPr>
          <w:lang w:val="en-US"/>
        </w:rPr>
        <w:fldChar w:fldCharType="end"/>
      </w:r>
      <w:r w:rsidR="00DA40B5">
        <w:rPr>
          <w:lang w:val="en-US"/>
        </w:rPr>
        <w:t>:</w:t>
      </w:r>
    </w:p>
    <w:tbl>
      <w:tblPr>
        <w:tblStyle w:val="TableGrid"/>
        <w:tblW w:w="9634" w:type="dxa"/>
        <w:tblLook w:val="04A0" w:firstRow="1" w:lastRow="0" w:firstColumn="1" w:lastColumn="0" w:noHBand="0" w:noVBand="1"/>
      </w:tblPr>
      <w:tblGrid>
        <w:gridCol w:w="9634"/>
      </w:tblGrid>
      <w:tr w:rsidR="007256F7" w14:paraId="7698F8F9" w14:textId="77777777" w:rsidTr="004A2D9F">
        <w:tc>
          <w:tcPr>
            <w:tcW w:w="9634" w:type="dxa"/>
          </w:tcPr>
          <w:p w14:paraId="79237902" w14:textId="77777777" w:rsidR="007256F7" w:rsidRPr="00B31310" w:rsidRDefault="007256F7" w:rsidP="00F35881">
            <w:pPr>
              <w:rPr>
                <w:lang w:val="en-US"/>
              </w:rPr>
            </w:pPr>
            <w:r w:rsidRPr="00B31310">
              <w:rPr>
                <w:lang w:val="en-US"/>
              </w:rPr>
              <w:t>Agreements:</w:t>
            </w:r>
          </w:p>
          <w:p w14:paraId="60E641DA" w14:textId="77777777" w:rsidR="007256F7" w:rsidRPr="00B31310" w:rsidRDefault="007256F7" w:rsidP="00F35881">
            <w:pPr>
              <w:rPr>
                <w:lang w:val="en-US"/>
              </w:rPr>
            </w:pPr>
            <w:r w:rsidRPr="00B31310">
              <w:rPr>
                <w:lang w:val="en-US"/>
              </w:rPr>
              <w:t>1.</w:t>
            </w:r>
            <w:r w:rsidRPr="00B31310">
              <w:rPr>
                <w:lang w:val="en-US"/>
              </w:rPr>
              <w:tab/>
              <w:t>In R18, for earth-moving system, satellite with steerable beam is not considered as part of mobility enhancement in NTN.</w:t>
            </w:r>
          </w:p>
          <w:p w14:paraId="7C793969" w14:textId="77777777" w:rsidR="007256F7" w:rsidRPr="00B31310" w:rsidRDefault="007256F7" w:rsidP="00F35881">
            <w:pPr>
              <w:rPr>
                <w:lang w:val="en-US"/>
              </w:rPr>
            </w:pPr>
            <w:r w:rsidRPr="00B31310">
              <w:rPr>
                <w:lang w:val="en-US"/>
              </w:rPr>
              <w:t>2.</w:t>
            </w:r>
            <w:r w:rsidRPr="00B31310">
              <w:rPr>
                <w:lang w:val="en-US"/>
              </w:rPr>
              <w:tab/>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B31310">
              <w:rPr>
                <w:lang w:val="en-US"/>
              </w:rPr>
              <w:t>e.g.</w:t>
            </w:r>
            <w:proofErr w:type="gramEnd"/>
            <w:r w:rsidRPr="00B31310">
              <w:rPr>
                <w:lang w:val="en-US"/>
              </w:rPr>
              <w:t xml:space="preserve"> Epoch time and ephemeris).</w:t>
            </w:r>
          </w:p>
          <w:p w14:paraId="519C5C97" w14:textId="77777777" w:rsidR="007256F7" w:rsidRDefault="007256F7" w:rsidP="00F35881">
            <w:pPr>
              <w:rPr>
                <w:lang w:val="en-US"/>
              </w:rPr>
            </w:pPr>
            <w:r w:rsidRPr="00B31310">
              <w:rPr>
                <w:lang w:val="en-US"/>
              </w:rPr>
              <w:t>3.</w:t>
            </w:r>
            <w:r w:rsidRPr="00B31310">
              <w:rPr>
                <w:lang w:val="en-US"/>
              </w:rPr>
              <w:tab/>
              <w:t>For cell selection/reselection, location-based measurement initiation is supported in earth-moving cell</w:t>
            </w:r>
          </w:p>
        </w:tc>
      </w:tr>
    </w:tbl>
    <w:p w14:paraId="7261BBB6" w14:textId="77777777" w:rsidR="00DB0277" w:rsidRDefault="00DB0277" w:rsidP="00DB0277">
      <w:pPr>
        <w:rPr>
          <w:lang w:val="en-US"/>
        </w:rPr>
      </w:pPr>
    </w:p>
    <w:tbl>
      <w:tblPr>
        <w:tblStyle w:val="TableGrid"/>
        <w:tblW w:w="9634" w:type="dxa"/>
        <w:tblLook w:val="04A0" w:firstRow="1" w:lastRow="0" w:firstColumn="1" w:lastColumn="0" w:noHBand="0" w:noVBand="1"/>
      </w:tblPr>
      <w:tblGrid>
        <w:gridCol w:w="9634"/>
      </w:tblGrid>
      <w:tr w:rsidR="00DB0277" w14:paraId="58977975" w14:textId="77777777" w:rsidTr="004A2D9F">
        <w:tc>
          <w:tcPr>
            <w:tcW w:w="9634" w:type="dxa"/>
          </w:tcPr>
          <w:p w14:paraId="2A6B1900" w14:textId="77777777" w:rsidR="00DB0277" w:rsidRPr="00F324A8" w:rsidRDefault="00DB0277" w:rsidP="00F35881">
            <w:pPr>
              <w:rPr>
                <w:lang w:val="en-US"/>
              </w:rPr>
            </w:pPr>
            <w:r w:rsidRPr="00F324A8">
              <w:rPr>
                <w:lang w:val="en-US"/>
              </w:rPr>
              <w:t>Agreements:</w:t>
            </w:r>
          </w:p>
          <w:p w14:paraId="69AACD6B" w14:textId="77777777" w:rsidR="00DB0277" w:rsidRDefault="00DB0277" w:rsidP="00F35881">
            <w:pPr>
              <w:rPr>
                <w:lang w:val="en-US"/>
              </w:rPr>
            </w:pPr>
            <w:r w:rsidRPr="00F324A8">
              <w:rPr>
                <w:lang w:val="en-US"/>
              </w:rPr>
              <w:t>1.</w:t>
            </w:r>
            <w:r w:rsidRPr="00F324A8">
              <w:rPr>
                <w:lang w:val="en-US"/>
              </w:rPr>
              <w:tab/>
              <w:t>For earth-moving cell, the location-based cell measurement rules of quasi-fixed cell is reused, i.e., for cell reselection in earth-moving cell, UE initiates measurements when its location to serving cell reference location is larger than the configured distance threshold.</w:t>
            </w:r>
          </w:p>
        </w:tc>
      </w:tr>
    </w:tbl>
    <w:p w14:paraId="342B8880" w14:textId="594CCBF6" w:rsidR="00247BE1" w:rsidRDefault="00881DE2" w:rsidP="00305CC8">
      <w:pPr>
        <w:jc w:val="both"/>
        <w:rPr>
          <w:lang w:val="en-US"/>
        </w:rPr>
      </w:pPr>
      <w:r>
        <w:rPr>
          <w:lang w:val="en-US"/>
        </w:rPr>
        <w:br/>
      </w:r>
      <w:r w:rsidR="00E1535A">
        <w:rPr>
          <w:lang w:val="en-US"/>
        </w:rPr>
        <w:t xml:space="preserve">In this paper we share more thoughts on </w:t>
      </w:r>
      <w:r w:rsidR="0049196F">
        <w:rPr>
          <w:lang w:val="en-US"/>
        </w:rPr>
        <w:t xml:space="preserve">intra-NTN </w:t>
      </w:r>
      <w:r w:rsidR="00E1535A">
        <w:rPr>
          <w:lang w:val="en-US"/>
        </w:rPr>
        <w:t>IDLE mode reselections.</w:t>
      </w:r>
    </w:p>
    <w:p w14:paraId="43673061" w14:textId="68B7C1B2" w:rsidR="003F01B3" w:rsidRDefault="003F01B3" w:rsidP="00D52BE2">
      <w:pPr>
        <w:jc w:val="both"/>
        <w:rPr>
          <w:lang w:val="en-US"/>
        </w:rPr>
      </w:pPr>
    </w:p>
    <w:p w14:paraId="1E78CAE6" w14:textId="53578077" w:rsidR="003F01B3" w:rsidRDefault="0025490B" w:rsidP="003F01B3">
      <w:pPr>
        <w:pStyle w:val="Heading1"/>
        <w:jc w:val="both"/>
      </w:pPr>
      <w:r>
        <w:lastRenderedPageBreak/>
        <w:t>2</w:t>
      </w:r>
      <w:r w:rsidR="003F01B3" w:rsidRPr="007438C6">
        <w:tab/>
      </w:r>
      <w:r w:rsidR="001727BC">
        <w:t>Cell reference location</w:t>
      </w:r>
    </w:p>
    <w:p w14:paraId="750DFD33" w14:textId="6D52FDB0" w:rsidR="00FC027C" w:rsidRDefault="00FC027C" w:rsidP="00FC027C">
      <w:pPr>
        <w:jc w:val="both"/>
        <w:rPr>
          <w:lang w:val="en-US"/>
        </w:rPr>
      </w:pPr>
      <w:r>
        <w:rPr>
          <w:lang w:val="en-US"/>
        </w:rPr>
        <w:t>The following agreements were made at RAN</w:t>
      </w:r>
      <w:r w:rsidR="004377DC">
        <w:rPr>
          <w:lang w:val="en-US"/>
        </w:rPr>
        <w:t>2</w:t>
      </w:r>
      <w:r>
        <w:rPr>
          <w:lang w:val="en-US"/>
        </w:rPr>
        <w:t>#121</w:t>
      </w:r>
      <w:r w:rsidR="004377DC">
        <w:rPr>
          <w:lang w:val="en-US"/>
        </w:rPr>
        <w:t xml:space="preserve"> </w:t>
      </w:r>
      <w:r w:rsidR="004377DC">
        <w:rPr>
          <w:lang w:val="en-US"/>
        </w:rPr>
        <w:fldChar w:fldCharType="begin"/>
      </w:r>
      <w:r w:rsidR="004377DC">
        <w:rPr>
          <w:lang w:val="en-US"/>
        </w:rPr>
        <w:instrText xml:space="preserve"> REF _Ref131150281 \r \h </w:instrText>
      </w:r>
      <w:r w:rsidR="004377DC">
        <w:rPr>
          <w:lang w:val="en-US"/>
        </w:rPr>
      </w:r>
      <w:r w:rsidR="004377DC">
        <w:rPr>
          <w:lang w:val="en-US"/>
        </w:rPr>
        <w:fldChar w:fldCharType="separate"/>
      </w:r>
      <w:r w:rsidR="004377DC">
        <w:rPr>
          <w:lang w:val="en-US"/>
        </w:rPr>
        <w:t>[2]</w:t>
      </w:r>
      <w:r w:rsidR="004377DC">
        <w:rPr>
          <w:lang w:val="en-US"/>
        </w:rPr>
        <w:fldChar w:fldCharType="end"/>
      </w:r>
      <w:r>
        <w:rPr>
          <w:lang w:val="en-US"/>
        </w:rPr>
        <w:t>:</w:t>
      </w:r>
    </w:p>
    <w:tbl>
      <w:tblPr>
        <w:tblStyle w:val="TableGrid"/>
        <w:tblW w:w="0" w:type="auto"/>
        <w:tblLook w:val="04A0" w:firstRow="1" w:lastRow="0" w:firstColumn="1" w:lastColumn="0" w:noHBand="0" w:noVBand="1"/>
      </w:tblPr>
      <w:tblGrid>
        <w:gridCol w:w="9062"/>
      </w:tblGrid>
      <w:tr w:rsidR="00FC027C" w14:paraId="0B1A8BD0" w14:textId="77777777" w:rsidTr="001A77DD">
        <w:tc>
          <w:tcPr>
            <w:tcW w:w="9062" w:type="dxa"/>
          </w:tcPr>
          <w:p w14:paraId="1E7729D9" w14:textId="134498C0" w:rsidR="009D789D" w:rsidRDefault="009D789D" w:rsidP="001A77DD">
            <w:pPr>
              <w:rPr>
                <w:lang w:val="en-US"/>
              </w:rPr>
            </w:pPr>
            <w:r w:rsidRPr="00B31310">
              <w:rPr>
                <w:lang w:val="en-US"/>
              </w:rPr>
              <w:t>1.</w:t>
            </w:r>
            <w:r w:rsidRPr="00B31310">
              <w:rPr>
                <w:lang w:val="en-US"/>
              </w:rPr>
              <w:tab/>
              <w:t>In R18, for earth-moving system, satellite with steerable beam is not considered as part of mobility enhancement in NTN.</w:t>
            </w:r>
          </w:p>
          <w:p w14:paraId="67A39F13" w14:textId="29A0F22B" w:rsidR="00FC027C" w:rsidRDefault="00FC027C" w:rsidP="001A77DD">
            <w:pPr>
              <w:rPr>
                <w:lang w:val="en-US"/>
              </w:rPr>
            </w:pPr>
            <w:r w:rsidRPr="00B31310">
              <w:rPr>
                <w:lang w:val="en-US"/>
              </w:rPr>
              <w:t>2.</w:t>
            </w:r>
            <w:r w:rsidRPr="00B31310">
              <w:rPr>
                <w:lang w:val="en-US"/>
              </w:rPr>
              <w:tab/>
              <w:t xml:space="preserve">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B31310">
              <w:rPr>
                <w:lang w:val="en-US"/>
              </w:rPr>
              <w:t>e.g.</w:t>
            </w:r>
            <w:proofErr w:type="gramEnd"/>
            <w:r w:rsidRPr="00B31310">
              <w:rPr>
                <w:lang w:val="en-US"/>
              </w:rPr>
              <w:t xml:space="preserve"> Epoch time and ephemeris).</w:t>
            </w:r>
          </w:p>
        </w:tc>
      </w:tr>
    </w:tbl>
    <w:p w14:paraId="49F8D346" w14:textId="77777777" w:rsidR="009D084C" w:rsidRDefault="009D084C" w:rsidP="009D084C">
      <w:pPr>
        <w:spacing w:after="0"/>
      </w:pPr>
    </w:p>
    <w:p w14:paraId="23FA5508" w14:textId="0D441F23" w:rsidR="00EB7285" w:rsidRDefault="00926766" w:rsidP="004A2D9F">
      <w:pPr>
        <w:spacing w:after="0"/>
        <w:jc w:val="both"/>
      </w:pPr>
      <w:r>
        <w:t>Th</w:t>
      </w:r>
      <w:r w:rsidR="004377DC">
        <w:t>e</w:t>
      </w:r>
      <w:r>
        <w:t xml:space="preserve"> agreement</w:t>
      </w:r>
      <w:r w:rsidR="00090AA9">
        <w:t>s above</w:t>
      </w:r>
      <w:r>
        <w:t xml:space="preserve"> impl</w:t>
      </w:r>
      <w:r w:rsidR="00090AA9">
        <w:t>y</w:t>
      </w:r>
      <w:r>
        <w:t xml:space="preserve"> that the UE receives via broadcast a </w:t>
      </w:r>
      <w:r w:rsidR="009D789D">
        <w:t>serving cell reference location which is valid for a specific point in time</w:t>
      </w:r>
      <w:r w:rsidR="00071F16">
        <w:t>)</w:t>
      </w:r>
      <w:r w:rsidR="009D789D">
        <w:t xml:space="preserve">. As the beams are not steerable, </w:t>
      </w:r>
      <w:r w:rsidR="00B121CE">
        <w:t xml:space="preserve">all </w:t>
      </w:r>
      <w:r w:rsidR="00DB2A29">
        <w:t>beams/cell</w:t>
      </w:r>
      <w:r w:rsidR="006C7606">
        <w:t>s</w:t>
      </w:r>
      <w:r w:rsidR="00DB2A29">
        <w:t xml:space="preserve"> </w:t>
      </w:r>
      <w:r w:rsidR="00B121CE">
        <w:t xml:space="preserve">move </w:t>
      </w:r>
      <w:r w:rsidR="001E1B72">
        <w:t>on the Earth with a trajectory defined by the satellite movement</w:t>
      </w:r>
      <w:r w:rsidR="00DB2A29">
        <w:t xml:space="preserve">. Hence, no matter if the serving cell is directly below the satellite, or on the </w:t>
      </w:r>
      <w:r w:rsidR="006B5AE2">
        <w:t>border of the coverage, the trajectory follows the satellite movement. Thus</w:t>
      </w:r>
      <w:r w:rsidR="006C7606">
        <w:t>,</w:t>
      </w:r>
      <w:r w:rsidR="006B5AE2">
        <w:t xml:space="preserve"> </w:t>
      </w:r>
      <w:r w:rsidR="00B5104D">
        <w:t xml:space="preserve">given one </w:t>
      </w:r>
      <w:r w:rsidR="00626236">
        <w:t>location</w:t>
      </w:r>
      <w:r w:rsidR="00B5104D">
        <w:t xml:space="preserve"> of the cell trajectory at a specific point in time, the</w:t>
      </w:r>
      <w:r w:rsidR="006B5AE2">
        <w:t xml:space="preserve"> trajectory of the cell can be derived</w:t>
      </w:r>
      <w:r w:rsidR="00EB7285">
        <w:t xml:space="preserve"> by the UE</w:t>
      </w:r>
      <w:r w:rsidR="006B5AE2">
        <w:t>.</w:t>
      </w:r>
    </w:p>
    <w:p w14:paraId="23516554" w14:textId="77777777" w:rsidR="00EB7285" w:rsidRDefault="00EB7285" w:rsidP="004A2D9F">
      <w:pPr>
        <w:spacing w:after="0"/>
        <w:jc w:val="both"/>
      </w:pPr>
    </w:p>
    <w:p w14:paraId="62ABD4C2" w14:textId="03A26756" w:rsidR="00FC027C" w:rsidRPr="00F3499E" w:rsidRDefault="00EB7285" w:rsidP="004A2D9F">
      <w:pPr>
        <w:spacing w:after="0"/>
        <w:jc w:val="both"/>
        <w:rPr>
          <w:b/>
          <w:bCs/>
        </w:rPr>
      </w:pPr>
      <w:r w:rsidRPr="00F3499E">
        <w:rPr>
          <w:b/>
          <w:bCs/>
        </w:rPr>
        <w:t>Observation 1:</w:t>
      </w:r>
      <w:r w:rsidR="00F101BF" w:rsidRPr="00F3499E">
        <w:rPr>
          <w:b/>
          <w:bCs/>
        </w:rPr>
        <w:t xml:space="preserve"> </w:t>
      </w:r>
      <w:r w:rsidR="009E07AF" w:rsidRPr="00F3499E">
        <w:rPr>
          <w:b/>
          <w:bCs/>
        </w:rPr>
        <w:t xml:space="preserve">Given one location of the cell trajectory at a specific point in time, the trajectory of the cell in EMC can be derived by the UE </w:t>
      </w:r>
      <w:r w:rsidR="00F3499E" w:rsidRPr="00F3499E">
        <w:rPr>
          <w:b/>
          <w:bCs/>
        </w:rPr>
        <w:t>using information conveyed in the ephemeris.</w:t>
      </w:r>
    </w:p>
    <w:p w14:paraId="0C5722DB" w14:textId="77777777" w:rsidR="00C176C2" w:rsidRDefault="00C176C2" w:rsidP="004A2D9F">
      <w:pPr>
        <w:spacing w:after="0"/>
        <w:jc w:val="both"/>
      </w:pPr>
    </w:p>
    <w:p w14:paraId="70FA88E4" w14:textId="5882857D" w:rsidR="00FA1EB6" w:rsidRDefault="00FA1EB6" w:rsidP="004A2D9F">
      <w:pPr>
        <w:jc w:val="both"/>
      </w:pPr>
      <w:r>
        <w:t xml:space="preserve">There </w:t>
      </w:r>
      <w:r w:rsidR="00D61A05">
        <w:t xml:space="preserve">are two different options to </w:t>
      </w:r>
      <w:r w:rsidR="007A4740">
        <w:t>describe</w:t>
      </w:r>
      <w:r w:rsidR="00264309">
        <w:t xml:space="preserve"> </w:t>
      </w:r>
      <w:r w:rsidR="001E1B72">
        <w:t>ephemeris</w:t>
      </w:r>
      <w:r w:rsidR="005A6717">
        <w:t xml:space="preserve">, </w:t>
      </w:r>
      <w:proofErr w:type="gramStart"/>
      <w:r w:rsidR="00264309">
        <w:t>PVT</w:t>
      </w:r>
      <w:proofErr w:type="gramEnd"/>
      <w:r w:rsidR="00264309">
        <w:t xml:space="preserve"> and orbital elements. </w:t>
      </w:r>
      <w:r w:rsidR="002E1016">
        <w:t xml:space="preserve">These are both equal representations of the same orbit and can be converted </w:t>
      </w:r>
      <w:r w:rsidR="002F30CE">
        <w:t>from one to the other. Therefore, derivation of the trajectory of the reference location is independent of the format which the ephemeris is provided</w:t>
      </w:r>
      <w:r w:rsidR="00186F07">
        <w:t>, contrary to what has been claimed by some in the past discussions</w:t>
      </w:r>
      <w:r w:rsidR="00E40B8C">
        <w:t xml:space="preserve">, when a need for multiple reference points was argued. </w:t>
      </w:r>
      <w:r w:rsidR="00833AC9">
        <w:t xml:space="preserve">However, even </w:t>
      </w:r>
      <w:r w:rsidR="00833AC9" w:rsidRPr="00833AC9">
        <w:t>PVT</w:t>
      </w:r>
      <w:r w:rsidR="00833AC9">
        <w:t xml:space="preserve"> format relies on</w:t>
      </w:r>
      <w:r w:rsidR="00833AC9" w:rsidRPr="00833AC9">
        <w:t xml:space="preserve"> </w:t>
      </w:r>
      <w:r w:rsidR="00833AC9">
        <w:t>three</w:t>
      </w:r>
      <w:r w:rsidR="00833AC9" w:rsidRPr="00833AC9">
        <w:t>-dimensional velocity information and the UE can know the approximate direction, so</w:t>
      </w:r>
      <w:r w:rsidR="00833AC9">
        <w:t xml:space="preserve"> there is</w:t>
      </w:r>
      <w:r w:rsidR="00833AC9" w:rsidRPr="00833AC9">
        <w:t xml:space="preserve"> no point in providing multiple points</w:t>
      </w:r>
      <w:r w:rsidR="00833AC9">
        <w:t>.</w:t>
      </w:r>
    </w:p>
    <w:p w14:paraId="11D57402" w14:textId="2AF33AAD" w:rsidR="00833AC9" w:rsidRDefault="0070540F" w:rsidP="004A2D9F">
      <w:pPr>
        <w:jc w:val="both"/>
        <w:rPr>
          <w:b/>
          <w:bCs/>
        </w:rPr>
      </w:pPr>
      <w:r w:rsidRPr="0070540F">
        <w:rPr>
          <w:b/>
          <w:bCs/>
        </w:rPr>
        <w:t xml:space="preserve">Observation 2: Even PVT format </w:t>
      </w:r>
      <w:r w:rsidR="0064167F">
        <w:rPr>
          <w:b/>
          <w:bCs/>
        </w:rPr>
        <w:t xml:space="preserve">of the ephemeris </w:t>
      </w:r>
      <w:r w:rsidRPr="0070540F">
        <w:rPr>
          <w:b/>
          <w:bCs/>
        </w:rPr>
        <w:t>relies on three-dimensional velocity information and the UE can know the approximate direction, so there is no point in providing multiple points for EMC scenario.</w:t>
      </w:r>
    </w:p>
    <w:p w14:paraId="63272FDA" w14:textId="754FC0DD" w:rsidR="0070540F" w:rsidRPr="00A37168" w:rsidRDefault="00A37168" w:rsidP="004A2D9F">
      <w:pPr>
        <w:jc w:val="both"/>
      </w:pPr>
      <w:r w:rsidRPr="00A37168">
        <w:t>And we propose the following:</w:t>
      </w:r>
    </w:p>
    <w:p w14:paraId="577210AA" w14:textId="0A44C092" w:rsidR="009D641D" w:rsidRPr="002E41E2" w:rsidRDefault="002F30CE" w:rsidP="004A2D9F">
      <w:pPr>
        <w:spacing w:after="0"/>
        <w:jc w:val="both"/>
        <w:rPr>
          <w:b/>
          <w:bCs/>
        </w:rPr>
      </w:pPr>
      <w:r w:rsidRPr="002E41E2">
        <w:rPr>
          <w:b/>
          <w:bCs/>
        </w:rPr>
        <w:t xml:space="preserve">Proposal 1: </w:t>
      </w:r>
      <w:r w:rsidR="00837BBD">
        <w:rPr>
          <w:b/>
          <w:bCs/>
        </w:rPr>
        <w:t>A single reference point (location</w:t>
      </w:r>
      <w:r w:rsidR="009D641D">
        <w:rPr>
          <w:b/>
          <w:bCs/>
        </w:rPr>
        <w:t xml:space="preserve"> and </w:t>
      </w:r>
      <w:r w:rsidR="00837BBD">
        <w:rPr>
          <w:b/>
          <w:bCs/>
        </w:rPr>
        <w:t xml:space="preserve">time) is supported for </w:t>
      </w:r>
      <w:r w:rsidRPr="002E41E2">
        <w:rPr>
          <w:b/>
          <w:bCs/>
        </w:rPr>
        <w:t xml:space="preserve">serving cell reference location </w:t>
      </w:r>
      <w:r w:rsidR="00837BBD">
        <w:rPr>
          <w:b/>
          <w:bCs/>
        </w:rPr>
        <w:t>in EMC</w:t>
      </w:r>
      <w:r w:rsidR="00B72E9F">
        <w:rPr>
          <w:b/>
          <w:bCs/>
        </w:rPr>
        <w:t>.</w:t>
      </w:r>
    </w:p>
    <w:p w14:paraId="13F8C905" w14:textId="1D622C1A" w:rsidR="000E1757" w:rsidRDefault="000E1757" w:rsidP="004A2D9F">
      <w:pPr>
        <w:spacing w:after="0"/>
        <w:jc w:val="both"/>
      </w:pPr>
    </w:p>
    <w:p w14:paraId="080CCB8F" w14:textId="779A0904" w:rsidR="001B186A" w:rsidRDefault="001B186A" w:rsidP="004A2D9F">
      <w:pPr>
        <w:jc w:val="both"/>
      </w:pPr>
      <w:r>
        <w:t xml:space="preserve">As the reference location in Rel.17 does not include a time information, it might be cleaner to have a new </w:t>
      </w:r>
      <w:r w:rsidR="00C43687">
        <w:t>IE/</w:t>
      </w:r>
      <w:r>
        <w:t xml:space="preserve">parameter for EMC. The </w:t>
      </w:r>
      <w:proofErr w:type="spellStart"/>
      <w:r w:rsidRPr="004A2D9F">
        <w:rPr>
          <w:i/>
          <w:iCs/>
        </w:rPr>
        <w:t>distanceThresh</w:t>
      </w:r>
      <w:proofErr w:type="spellEnd"/>
      <w:r>
        <w:t xml:space="preserve"> parameter can be reused. </w:t>
      </w:r>
    </w:p>
    <w:p w14:paraId="4E5D3A16" w14:textId="2B4ED306" w:rsidR="001B186A" w:rsidRPr="004A2D9F" w:rsidRDefault="001B186A" w:rsidP="004A2D9F">
      <w:pPr>
        <w:jc w:val="both"/>
        <w:rPr>
          <w:b/>
          <w:bCs/>
        </w:rPr>
      </w:pPr>
      <w:r w:rsidRPr="004A2D9F">
        <w:rPr>
          <w:b/>
          <w:bCs/>
        </w:rPr>
        <w:t xml:space="preserve">Proposal 2: Add a new </w:t>
      </w:r>
      <w:r w:rsidR="008E7644">
        <w:rPr>
          <w:b/>
          <w:bCs/>
        </w:rPr>
        <w:t>IE</w:t>
      </w:r>
      <w:r w:rsidRPr="004A2D9F">
        <w:rPr>
          <w:b/>
          <w:bCs/>
        </w:rPr>
        <w:t xml:space="preserve"> for the reference location</w:t>
      </w:r>
      <w:r w:rsidR="008E7644">
        <w:rPr>
          <w:b/>
          <w:bCs/>
        </w:rPr>
        <w:t xml:space="preserve"> which </w:t>
      </w:r>
      <w:proofErr w:type="gramStart"/>
      <w:r w:rsidR="002C33DD">
        <w:rPr>
          <w:b/>
          <w:bCs/>
        </w:rPr>
        <w:t>includes also</w:t>
      </w:r>
      <w:proofErr w:type="gramEnd"/>
      <w:r w:rsidR="002C33DD">
        <w:rPr>
          <w:b/>
          <w:bCs/>
        </w:rPr>
        <w:t xml:space="preserve"> the timestamp. R</w:t>
      </w:r>
      <w:r w:rsidRPr="004A2D9F">
        <w:rPr>
          <w:b/>
          <w:bCs/>
        </w:rPr>
        <w:t xml:space="preserve">euse the </w:t>
      </w:r>
      <w:r w:rsidR="002C33DD">
        <w:rPr>
          <w:b/>
          <w:bCs/>
        </w:rPr>
        <w:t xml:space="preserve">Rel-17 </w:t>
      </w:r>
      <w:proofErr w:type="spellStart"/>
      <w:r w:rsidRPr="004A2D9F">
        <w:rPr>
          <w:b/>
          <w:bCs/>
          <w:i/>
          <w:iCs/>
        </w:rPr>
        <w:t>distanceThresh</w:t>
      </w:r>
      <w:proofErr w:type="spellEnd"/>
      <w:r w:rsidRPr="004A2D9F">
        <w:rPr>
          <w:b/>
          <w:bCs/>
        </w:rPr>
        <w:t xml:space="preserve"> parameter.</w:t>
      </w:r>
    </w:p>
    <w:p w14:paraId="6DE9F28E" w14:textId="3DD4992F" w:rsidR="001B186A" w:rsidRDefault="009D641D" w:rsidP="004A2D9F">
      <w:pPr>
        <w:pStyle w:val="CommentText"/>
        <w:jc w:val="both"/>
      </w:pPr>
      <w:r>
        <w:t>It has been discussed if the UE needs additional assistance information. This depends on the needed accuracy of the information. If it is just for initiating the measurements, the location does not need to be very accurate. If the same solution would be applied to CHO later, a higher accuracy might be needed.</w:t>
      </w:r>
      <w:r w:rsidR="00AD3F1B">
        <w:t xml:space="preserve"> Hence, in a first step, the expected accuracy should be clarified.</w:t>
      </w:r>
    </w:p>
    <w:p w14:paraId="65FC7355" w14:textId="3EFC15CE" w:rsidR="001B186A" w:rsidRDefault="001B186A" w:rsidP="004A2D9F">
      <w:pPr>
        <w:pStyle w:val="CommentText"/>
        <w:jc w:val="both"/>
      </w:pPr>
      <w:r w:rsidRPr="004A2D9F">
        <w:rPr>
          <w:b/>
          <w:bCs/>
        </w:rPr>
        <w:t>Proposal</w:t>
      </w:r>
      <w:r w:rsidR="009D641D" w:rsidRPr="004A2D9F">
        <w:rPr>
          <w:b/>
          <w:bCs/>
        </w:rPr>
        <w:t xml:space="preserve"> 3</w:t>
      </w:r>
      <w:r w:rsidRPr="004A2D9F">
        <w:rPr>
          <w:b/>
          <w:bCs/>
        </w:rPr>
        <w:t xml:space="preserve">: RAN2 to discuss </w:t>
      </w:r>
      <w:r w:rsidR="00AD3F1B">
        <w:rPr>
          <w:b/>
          <w:bCs/>
        </w:rPr>
        <w:t xml:space="preserve">if the </w:t>
      </w:r>
      <w:r w:rsidRPr="004A2D9F">
        <w:rPr>
          <w:b/>
          <w:bCs/>
        </w:rPr>
        <w:t>accuracy of reference location</w:t>
      </w:r>
      <w:r w:rsidR="002C33DD">
        <w:rPr>
          <w:b/>
          <w:bCs/>
        </w:rPr>
        <w:t xml:space="preserve"> and</w:t>
      </w:r>
      <w:r w:rsidR="00DA6C19">
        <w:rPr>
          <w:b/>
          <w:bCs/>
        </w:rPr>
        <w:t xml:space="preserve"> </w:t>
      </w:r>
      <w:proofErr w:type="spellStart"/>
      <w:r w:rsidR="00DA6C19" w:rsidRPr="004A2D9F">
        <w:rPr>
          <w:b/>
          <w:bCs/>
          <w:i/>
          <w:iCs/>
        </w:rPr>
        <w:t>distanceThresh</w:t>
      </w:r>
      <w:proofErr w:type="spellEnd"/>
      <w:r w:rsidR="00AD3F1B">
        <w:rPr>
          <w:b/>
          <w:bCs/>
        </w:rPr>
        <w:t xml:space="preserve"> needs to be very</w:t>
      </w:r>
      <w:r w:rsidR="00CB756D">
        <w:rPr>
          <w:b/>
          <w:bCs/>
        </w:rPr>
        <w:t xml:space="preserve"> strict</w:t>
      </w:r>
      <w:r w:rsidR="00AD3F1B">
        <w:rPr>
          <w:b/>
          <w:bCs/>
        </w:rPr>
        <w:t xml:space="preserve"> or a lower accuracy is sufficient for measurement initiation</w:t>
      </w:r>
      <w:r w:rsidR="00CB756D">
        <w:rPr>
          <w:b/>
          <w:bCs/>
        </w:rPr>
        <w:t xml:space="preserve"> in IDLE mode and for CHO condition evaluation</w:t>
      </w:r>
      <w:r w:rsidR="00AD3F1B">
        <w:rPr>
          <w:b/>
          <w:bCs/>
        </w:rPr>
        <w:t>.</w:t>
      </w:r>
    </w:p>
    <w:p w14:paraId="1244FCF6" w14:textId="4802E79F" w:rsidR="000E1757" w:rsidRDefault="0025490B" w:rsidP="000E1757">
      <w:pPr>
        <w:pStyle w:val="Heading1"/>
        <w:jc w:val="both"/>
      </w:pPr>
      <w:r>
        <w:t>3</w:t>
      </w:r>
      <w:r w:rsidR="000E1757" w:rsidRPr="007438C6">
        <w:tab/>
      </w:r>
      <w:r>
        <w:t>L</w:t>
      </w:r>
      <w:r w:rsidRPr="00B31310">
        <w:rPr>
          <w:lang w:val="en-US"/>
        </w:rPr>
        <w:t>ocation-based measurement initiation</w:t>
      </w:r>
      <w:r w:rsidR="00DC7E49">
        <w:rPr>
          <w:lang w:val="en-US"/>
        </w:rPr>
        <w:t xml:space="preserve"> and reselection</w:t>
      </w:r>
    </w:p>
    <w:p w14:paraId="680CCA2F" w14:textId="3FF09018" w:rsidR="00FC7A91" w:rsidRDefault="000D6B19" w:rsidP="000D6B19">
      <w:pPr>
        <w:jc w:val="both"/>
        <w:rPr>
          <w:lang w:val="en-US"/>
        </w:rPr>
      </w:pPr>
      <w:r>
        <w:rPr>
          <w:lang w:val="en-US"/>
        </w:rPr>
        <w:t>The following agreements were made at RAN</w:t>
      </w:r>
      <w:r w:rsidR="000B292F">
        <w:rPr>
          <w:lang w:val="en-US"/>
        </w:rPr>
        <w:t>2</w:t>
      </w:r>
      <w:r>
        <w:rPr>
          <w:lang w:val="en-US"/>
        </w:rPr>
        <w:t>#121</w:t>
      </w:r>
      <w:r w:rsidR="000B292F">
        <w:rPr>
          <w:lang w:val="en-US"/>
        </w:rPr>
        <w:t xml:space="preserve"> </w:t>
      </w:r>
      <w:r w:rsidR="000B292F">
        <w:rPr>
          <w:lang w:val="en-US"/>
        </w:rPr>
        <w:fldChar w:fldCharType="begin"/>
      </w:r>
      <w:r w:rsidR="000B292F">
        <w:rPr>
          <w:lang w:val="en-US"/>
        </w:rPr>
        <w:instrText xml:space="preserve"> REF _Ref131150281 \r \h </w:instrText>
      </w:r>
      <w:r w:rsidR="000B292F">
        <w:rPr>
          <w:lang w:val="en-US"/>
        </w:rPr>
      </w:r>
      <w:r w:rsidR="000B292F">
        <w:rPr>
          <w:lang w:val="en-US"/>
        </w:rPr>
        <w:fldChar w:fldCharType="separate"/>
      </w:r>
      <w:r w:rsidR="000B292F">
        <w:rPr>
          <w:lang w:val="en-US"/>
        </w:rPr>
        <w:t>[2]</w:t>
      </w:r>
      <w:r w:rsidR="000B292F">
        <w:rPr>
          <w:lang w:val="en-US"/>
        </w:rPr>
        <w:fldChar w:fldCharType="end"/>
      </w:r>
      <w:r>
        <w:rPr>
          <w:lang w:val="en-US"/>
        </w:rPr>
        <w:t>:</w:t>
      </w:r>
    </w:p>
    <w:tbl>
      <w:tblPr>
        <w:tblStyle w:val="TableGrid"/>
        <w:tblW w:w="0" w:type="auto"/>
        <w:tblLook w:val="04A0" w:firstRow="1" w:lastRow="0" w:firstColumn="1" w:lastColumn="0" w:noHBand="0" w:noVBand="1"/>
      </w:tblPr>
      <w:tblGrid>
        <w:gridCol w:w="9062"/>
      </w:tblGrid>
      <w:tr w:rsidR="00FC7A91" w14:paraId="2C8A6D69" w14:textId="77777777" w:rsidTr="001A77DD">
        <w:tc>
          <w:tcPr>
            <w:tcW w:w="9062" w:type="dxa"/>
          </w:tcPr>
          <w:p w14:paraId="4DB55AEB" w14:textId="77777777" w:rsidR="00FC7A91" w:rsidRPr="00F324A8" w:rsidRDefault="00FC7A91" w:rsidP="001A77DD">
            <w:pPr>
              <w:rPr>
                <w:lang w:val="en-US"/>
              </w:rPr>
            </w:pPr>
            <w:r w:rsidRPr="00F324A8">
              <w:rPr>
                <w:lang w:val="en-US"/>
              </w:rPr>
              <w:t>Agreements:</w:t>
            </w:r>
          </w:p>
          <w:p w14:paraId="416DCE26" w14:textId="77777777" w:rsidR="00FC7A91" w:rsidRDefault="00FC7A91" w:rsidP="001A77DD">
            <w:pPr>
              <w:rPr>
                <w:lang w:val="en-US"/>
              </w:rPr>
            </w:pPr>
            <w:r w:rsidRPr="00F324A8">
              <w:rPr>
                <w:lang w:val="en-US"/>
              </w:rPr>
              <w:t>1.</w:t>
            </w:r>
            <w:r w:rsidRPr="00F324A8">
              <w:rPr>
                <w:lang w:val="en-US"/>
              </w:rPr>
              <w:tab/>
              <w:t>For earth-moving cell, the location-based cell measurement rules of quasi-fixed cell is reused, i.e., for cell reselection in earth-moving cell, UE initiates measurements when its location to serving cell reference location is larger than the configured distance threshold.</w:t>
            </w:r>
          </w:p>
        </w:tc>
      </w:tr>
    </w:tbl>
    <w:p w14:paraId="485DA694" w14:textId="77777777" w:rsidR="002E41E2" w:rsidRDefault="002E41E2" w:rsidP="004A2D9F">
      <w:pPr>
        <w:spacing w:after="0"/>
        <w:jc w:val="both"/>
      </w:pPr>
    </w:p>
    <w:p w14:paraId="38DD8396" w14:textId="67DD52EE" w:rsidR="00DC7E49" w:rsidRDefault="00F06B67" w:rsidP="004A2D9F">
      <w:pPr>
        <w:spacing w:after="0"/>
        <w:jc w:val="both"/>
      </w:pPr>
      <w:r>
        <w:t xml:space="preserve">With this </w:t>
      </w:r>
      <w:r w:rsidR="00B62882">
        <w:t xml:space="preserve">information, the UE can </w:t>
      </w:r>
      <w:r w:rsidR="00EE71D7">
        <w:t xml:space="preserve">initiate measurements based on the location of the cell. </w:t>
      </w:r>
      <w:r w:rsidR="00EF767E">
        <w:t xml:space="preserve">This </w:t>
      </w:r>
      <w:r w:rsidR="009613ED">
        <w:t>is</w:t>
      </w:r>
      <w:r w:rsidR="00EF767E">
        <w:t xml:space="preserve"> sufficient to trigger measurements when needed</w:t>
      </w:r>
      <w:r w:rsidR="00993D2F">
        <w:t xml:space="preserve">. </w:t>
      </w:r>
      <w:r w:rsidR="00135FC3">
        <w:t xml:space="preserve">To further include location-based information </w:t>
      </w:r>
      <w:r w:rsidR="00A70C1B">
        <w:t xml:space="preserve">into the cell reselection adds complexity to </w:t>
      </w:r>
      <w:r w:rsidR="001E3EAF">
        <w:t xml:space="preserve">calculate </w:t>
      </w:r>
      <w:r w:rsidR="00A70C1B">
        <w:t>distances to</w:t>
      </w:r>
      <w:r w:rsidR="009613ED">
        <w:t xml:space="preserve"> the serving cell and multiple </w:t>
      </w:r>
      <w:proofErr w:type="spellStart"/>
      <w:r w:rsidR="009613ED">
        <w:t>neighbor</w:t>
      </w:r>
      <w:proofErr w:type="spellEnd"/>
      <w:r w:rsidR="009613ED">
        <w:t xml:space="preserve"> cells</w:t>
      </w:r>
      <w:r w:rsidR="009E5B0E">
        <w:t xml:space="preserve"> </w:t>
      </w:r>
      <w:r w:rsidR="00DC7E49">
        <w:t xml:space="preserve">and </w:t>
      </w:r>
      <w:r w:rsidR="00C232C1">
        <w:t xml:space="preserve">continuously </w:t>
      </w:r>
      <w:r w:rsidR="009E5B0E">
        <w:t xml:space="preserve">keep them </w:t>
      </w:r>
      <w:r w:rsidR="00927D9C">
        <w:t>up to date</w:t>
      </w:r>
      <w:r w:rsidR="009613ED">
        <w:t>.</w:t>
      </w:r>
      <w:r w:rsidR="009E5B0E">
        <w:t xml:space="preserve"> </w:t>
      </w:r>
    </w:p>
    <w:p w14:paraId="29CEB04F" w14:textId="77777777" w:rsidR="00DC7E49" w:rsidRDefault="00DC7E49" w:rsidP="004A2D9F">
      <w:pPr>
        <w:spacing w:after="0"/>
        <w:jc w:val="both"/>
      </w:pPr>
    </w:p>
    <w:p w14:paraId="2440D006" w14:textId="55831BFF" w:rsidR="00DC7E49" w:rsidRPr="00DC7E49" w:rsidRDefault="00DC7E49" w:rsidP="004A2D9F">
      <w:pPr>
        <w:spacing w:after="0"/>
        <w:jc w:val="both"/>
        <w:rPr>
          <w:b/>
          <w:bCs/>
        </w:rPr>
      </w:pPr>
      <w:r w:rsidRPr="00DC7E49">
        <w:rPr>
          <w:b/>
          <w:bCs/>
        </w:rPr>
        <w:t>Observation 3: Including location-based information into the cell reselection criteria adds complexity of the need to continuously calculate distances to the serving cell and multiple neighbours.</w:t>
      </w:r>
    </w:p>
    <w:p w14:paraId="6014913E" w14:textId="77777777" w:rsidR="00DC7E49" w:rsidRDefault="00DC7E49" w:rsidP="004A2D9F">
      <w:pPr>
        <w:spacing w:after="0"/>
        <w:jc w:val="both"/>
      </w:pPr>
    </w:p>
    <w:p w14:paraId="3DC2378C" w14:textId="35FC4423" w:rsidR="00E26E78" w:rsidRDefault="009C794A" w:rsidP="004A2D9F">
      <w:pPr>
        <w:spacing w:after="0"/>
        <w:jc w:val="both"/>
      </w:pPr>
      <w:r>
        <w:t xml:space="preserve">Moreover, </w:t>
      </w:r>
      <w:r w:rsidR="004A28D9">
        <w:t xml:space="preserve">the benefit of this </w:t>
      </w:r>
      <w:r w:rsidR="00E26E78">
        <w:t xml:space="preserve">additional </w:t>
      </w:r>
      <w:r w:rsidR="004A28D9">
        <w:t>effort is unclear</w:t>
      </w:r>
      <w:r w:rsidR="00E26E78">
        <w:t xml:space="preserve">, also keeping in mind that </w:t>
      </w:r>
      <w:r w:rsidR="00DE1CA0">
        <w:t>this needs to be done very frequently due to the moving cells</w:t>
      </w:r>
      <w:r w:rsidR="004A28D9">
        <w:t xml:space="preserve">. </w:t>
      </w:r>
      <w:r>
        <w:t>The existing reselection based on radio measurement can be used</w:t>
      </w:r>
      <w:r w:rsidR="00DE1CA0">
        <w:t>.</w:t>
      </w:r>
    </w:p>
    <w:p w14:paraId="017D8FD4" w14:textId="2C3660B7" w:rsidR="00DE1CA0" w:rsidRDefault="00DE1CA0" w:rsidP="004A2D9F">
      <w:pPr>
        <w:spacing w:after="0"/>
        <w:jc w:val="both"/>
      </w:pPr>
    </w:p>
    <w:p w14:paraId="5989DD9A" w14:textId="6AB368B9" w:rsidR="00A51873" w:rsidRPr="00375D3C" w:rsidRDefault="00DE1CA0" w:rsidP="004A2D9F">
      <w:pPr>
        <w:spacing w:after="0"/>
        <w:jc w:val="both"/>
        <w:rPr>
          <w:b/>
          <w:bCs/>
        </w:rPr>
      </w:pPr>
      <w:r w:rsidRPr="00DE1CA0">
        <w:rPr>
          <w:b/>
          <w:bCs/>
        </w:rPr>
        <w:t xml:space="preserve">Proposal </w:t>
      </w:r>
      <w:r w:rsidR="00BF41E8">
        <w:rPr>
          <w:b/>
          <w:bCs/>
        </w:rPr>
        <w:t>4</w:t>
      </w:r>
      <w:r w:rsidRPr="00DE1CA0">
        <w:rPr>
          <w:b/>
          <w:bCs/>
        </w:rPr>
        <w:t>: No additional criteria for cell reselection is added</w:t>
      </w:r>
      <w:r w:rsidR="00DC7E49">
        <w:rPr>
          <w:b/>
          <w:bCs/>
        </w:rPr>
        <w:t xml:space="preserve"> for EMC in Rel-18</w:t>
      </w:r>
      <w:r w:rsidRPr="00DE1CA0">
        <w:rPr>
          <w:b/>
          <w:bCs/>
        </w:rPr>
        <w:t>.</w:t>
      </w:r>
    </w:p>
    <w:p w14:paraId="69B7B8E6" w14:textId="21389B34" w:rsidR="009339CB" w:rsidRPr="007438C6" w:rsidRDefault="00132080" w:rsidP="00D52BE2">
      <w:pPr>
        <w:pStyle w:val="Heading1"/>
        <w:jc w:val="both"/>
      </w:pPr>
      <w:r>
        <w:t>4</w:t>
      </w:r>
      <w:r w:rsidR="009339CB" w:rsidRPr="007438C6">
        <w:tab/>
        <w:t>Conclusion</w:t>
      </w:r>
    </w:p>
    <w:p w14:paraId="35F222F4" w14:textId="60C101ED" w:rsidR="00080512" w:rsidRDefault="00881DE2" w:rsidP="00D52BE2">
      <w:pPr>
        <w:jc w:val="both"/>
      </w:pPr>
      <w:r>
        <w:t>In this paper the follow proposals and observations on IDLE mode NTN have been made:</w:t>
      </w:r>
    </w:p>
    <w:p w14:paraId="28040B6F" w14:textId="77777777" w:rsidR="00B72E9F" w:rsidRPr="00F3499E" w:rsidRDefault="00B72E9F" w:rsidP="004A2D9F">
      <w:pPr>
        <w:spacing w:after="0"/>
        <w:jc w:val="both"/>
        <w:rPr>
          <w:b/>
          <w:bCs/>
        </w:rPr>
      </w:pPr>
      <w:r w:rsidRPr="00F3499E">
        <w:rPr>
          <w:b/>
          <w:bCs/>
        </w:rPr>
        <w:t>Observation 1: Given one location of the cell trajectory at a specific point in time, the trajectory of the cell in EMC can be derived by the UE using information conveyed in the ephemeris.</w:t>
      </w:r>
    </w:p>
    <w:p w14:paraId="1908E358" w14:textId="36412963" w:rsidR="00B72E9F" w:rsidRDefault="00B72E9F" w:rsidP="004A2D9F">
      <w:pPr>
        <w:jc w:val="both"/>
        <w:rPr>
          <w:b/>
          <w:bCs/>
        </w:rPr>
      </w:pPr>
      <w:r>
        <w:rPr>
          <w:b/>
          <w:bCs/>
        </w:rPr>
        <w:br/>
      </w:r>
      <w:r w:rsidRPr="0070540F">
        <w:rPr>
          <w:b/>
          <w:bCs/>
        </w:rPr>
        <w:t xml:space="preserve">Observation 2: Even PVT format </w:t>
      </w:r>
      <w:r>
        <w:rPr>
          <w:b/>
          <w:bCs/>
        </w:rPr>
        <w:t xml:space="preserve">of the ephemeris </w:t>
      </w:r>
      <w:r w:rsidRPr="0070540F">
        <w:rPr>
          <w:b/>
          <w:bCs/>
        </w:rPr>
        <w:t>relies on three-dimensional velocity information and the UE can know the approximate direction, so there is no point in providing multiple points for EMC scenario.</w:t>
      </w:r>
    </w:p>
    <w:p w14:paraId="5DBE13F9" w14:textId="1FD5624C" w:rsidR="00132080" w:rsidRDefault="00B72E9F" w:rsidP="004A2D9F">
      <w:pPr>
        <w:spacing w:after="0"/>
        <w:jc w:val="both"/>
        <w:rPr>
          <w:b/>
          <w:bCs/>
        </w:rPr>
      </w:pPr>
      <w:r w:rsidRPr="00DC7E49">
        <w:rPr>
          <w:b/>
          <w:bCs/>
        </w:rPr>
        <w:t>Observation 3: Including location-based information into the cell reselection criteria adds complexity of the need to continuously calculate distances to the serving cell and multiple neighbours.</w:t>
      </w:r>
    </w:p>
    <w:p w14:paraId="697E26B5" w14:textId="77777777" w:rsidR="00B72E9F" w:rsidRPr="004A2D9F" w:rsidRDefault="00B72E9F" w:rsidP="004A2D9F">
      <w:pPr>
        <w:spacing w:after="0"/>
        <w:jc w:val="both"/>
        <w:rPr>
          <w:b/>
          <w:bCs/>
        </w:rPr>
      </w:pPr>
    </w:p>
    <w:p w14:paraId="742869BD" w14:textId="77777777" w:rsidR="00B72E9F" w:rsidRPr="002E41E2" w:rsidRDefault="00B72E9F" w:rsidP="004A2D9F">
      <w:pPr>
        <w:spacing w:after="0"/>
        <w:jc w:val="both"/>
        <w:rPr>
          <w:b/>
          <w:bCs/>
        </w:rPr>
      </w:pPr>
      <w:r w:rsidRPr="002E41E2">
        <w:rPr>
          <w:b/>
          <w:bCs/>
        </w:rPr>
        <w:t xml:space="preserve">Proposal 1: </w:t>
      </w:r>
      <w:r>
        <w:rPr>
          <w:b/>
          <w:bCs/>
        </w:rPr>
        <w:t xml:space="preserve">A single reference point (location and time) is supported for </w:t>
      </w:r>
      <w:r w:rsidRPr="002E41E2">
        <w:rPr>
          <w:b/>
          <w:bCs/>
        </w:rPr>
        <w:t xml:space="preserve">serving cell reference location </w:t>
      </w:r>
      <w:r>
        <w:rPr>
          <w:b/>
          <w:bCs/>
        </w:rPr>
        <w:t>in EMC.</w:t>
      </w:r>
    </w:p>
    <w:p w14:paraId="4D6D76E3" w14:textId="77777777" w:rsidR="00B72E9F" w:rsidRDefault="00B72E9F" w:rsidP="004A2D9F">
      <w:pPr>
        <w:spacing w:after="0"/>
        <w:jc w:val="both"/>
      </w:pPr>
    </w:p>
    <w:p w14:paraId="27D3B6C7" w14:textId="77777777" w:rsidR="00B72E9F" w:rsidRPr="00CD603F" w:rsidRDefault="00B72E9F" w:rsidP="004A2D9F">
      <w:pPr>
        <w:jc w:val="both"/>
        <w:rPr>
          <w:b/>
          <w:bCs/>
        </w:rPr>
      </w:pPr>
      <w:r w:rsidRPr="00CD603F">
        <w:rPr>
          <w:b/>
          <w:bCs/>
        </w:rPr>
        <w:t xml:space="preserve">Proposal 2: Add a new </w:t>
      </w:r>
      <w:r>
        <w:rPr>
          <w:b/>
          <w:bCs/>
        </w:rPr>
        <w:t>IE</w:t>
      </w:r>
      <w:r w:rsidRPr="00CD603F">
        <w:rPr>
          <w:b/>
          <w:bCs/>
        </w:rPr>
        <w:t xml:space="preserve"> for the reference location</w:t>
      </w:r>
      <w:r>
        <w:rPr>
          <w:b/>
          <w:bCs/>
        </w:rPr>
        <w:t xml:space="preserve"> which </w:t>
      </w:r>
      <w:proofErr w:type="gramStart"/>
      <w:r>
        <w:rPr>
          <w:b/>
          <w:bCs/>
        </w:rPr>
        <w:t>includes also</w:t>
      </w:r>
      <w:proofErr w:type="gramEnd"/>
      <w:r>
        <w:rPr>
          <w:b/>
          <w:bCs/>
        </w:rPr>
        <w:t xml:space="preserve"> the timestamp. R</w:t>
      </w:r>
      <w:r w:rsidRPr="00CD603F">
        <w:rPr>
          <w:b/>
          <w:bCs/>
        </w:rPr>
        <w:t xml:space="preserve">euse the </w:t>
      </w:r>
      <w:r>
        <w:rPr>
          <w:b/>
          <w:bCs/>
        </w:rPr>
        <w:t xml:space="preserve">Rel-17 </w:t>
      </w:r>
      <w:proofErr w:type="spellStart"/>
      <w:r w:rsidRPr="00CD603F">
        <w:rPr>
          <w:b/>
          <w:bCs/>
          <w:i/>
          <w:iCs/>
        </w:rPr>
        <w:t>distanceThresh</w:t>
      </w:r>
      <w:proofErr w:type="spellEnd"/>
      <w:r w:rsidRPr="00CD603F">
        <w:rPr>
          <w:b/>
          <w:bCs/>
        </w:rPr>
        <w:t xml:space="preserve"> parameter.</w:t>
      </w:r>
    </w:p>
    <w:p w14:paraId="5D01836E" w14:textId="3E239101" w:rsidR="00B72E9F" w:rsidRPr="004A2D9F" w:rsidRDefault="00B72E9F" w:rsidP="004A2D9F">
      <w:pPr>
        <w:jc w:val="both"/>
        <w:rPr>
          <w:b/>
          <w:bCs/>
        </w:rPr>
      </w:pPr>
      <w:r w:rsidRPr="00CD603F">
        <w:rPr>
          <w:b/>
          <w:bCs/>
        </w:rPr>
        <w:t xml:space="preserve">Proposal 3: RAN2 to discuss </w:t>
      </w:r>
      <w:r>
        <w:rPr>
          <w:b/>
          <w:bCs/>
        </w:rPr>
        <w:t xml:space="preserve">if the </w:t>
      </w:r>
      <w:r w:rsidRPr="00CD603F">
        <w:rPr>
          <w:b/>
          <w:bCs/>
        </w:rPr>
        <w:t>accuracy of reference location</w:t>
      </w:r>
      <w:r>
        <w:rPr>
          <w:b/>
          <w:bCs/>
        </w:rPr>
        <w:t xml:space="preserve"> and </w:t>
      </w:r>
      <w:proofErr w:type="spellStart"/>
      <w:r w:rsidRPr="00CD603F">
        <w:rPr>
          <w:b/>
          <w:bCs/>
          <w:i/>
          <w:iCs/>
        </w:rPr>
        <w:t>distanceThresh</w:t>
      </w:r>
      <w:proofErr w:type="spellEnd"/>
      <w:r>
        <w:rPr>
          <w:b/>
          <w:bCs/>
        </w:rPr>
        <w:t xml:space="preserve"> needs to be very strict or a lower accuracy is sufficient for measurement initiation in IDLE mode and for CHO condition evaluation.</w:t>
      </w:r>
    </w:p>
    <w:p w14:paraId="606E8028" w14:textId="1E1BE89B" w:rsidR="00B72E9F" w:rsidRDefault="00B72E9F" w:rsidP="004A2D9F">
      <w:pPr>
        <w:jc w:val="both"/>
      </w:pPr>
      <w:r w:rsidRPr="00DE1CA0">
        <w:rPr>
          <w:b/>
          <w:bCs/>
        </w:rPr>
        <w:t xml:space="preserve">Proposal </w:t>
      </w:r>
      <w:r>
        <w:rPr>
          <w:b/>
          <w:bCs/>
        </w:rPr>
        <w:t>4</w:t>
      </w:r>
      <w:r w:rsidRPr="00DE1CA0">
        <w:rPr>
          <w:b/>
          <w:bCs/>
        </w:rPr>
        <w:t>: No additional criteria for cell reselection is added</w:t>
      </w:r>
      <w:r>
        <w:rPr>
          <w:b/>
          <w:bCs/>
        </w:rPr>
        <w:t xml:space="preserve"> for EMC in Rel-18</w:t>
      </w:r>
      <w:r w:rsidRPr="00DE1CA0">
        <w:rPr>
          <w:b/>
          <w:bCs/>
        </w:rPr>
        <w:t>.</w:t>
      </w:r>
    </w:p>
    <w:p w14:paraId="64C1C004" w14:textId="292CBA63" w:rsidR="0025571F" w:rsidRPr="007438C6" w:rsidRDefault="0025571F" w:rsidP="00D52BE2">
      <w:pPr>
        <w:pStyle w:val="Heading1"/>
        <w:jc w:val="both"/>
      </w:pPr>
      <w:r w:rsidRPr="007438C6">
        <w:t>References</w:t>
      </w:r>
    </w:p>
    <w:p w14:paraId="04F15FF7" w14:textId="51EE4822" w:rsidR="00BF636B" w:rsidRDefault="00BF636B" w:rsidP="005F3395">
      <w:pPr>
        <w:pStyle w:val="ListParagraph"/>
        <w:numPr>
          <w:ilvl w:val="0"/>
          <w:numId w:val="8"/>
        </w:numPr>
        <w:jc w:val="both"/>
      </w:pPr>
      <w:r>
        <w:t xml:space="preserve">RP-230809 </w:t>
      </w:r>
      <w:r w:rsidRPr="00EA2D2A">
        <w:rPr>
          <w:i/>
          <w:iCs/>
        </w:rPr>
        <w:t>Revised WID: NR NTN (Non-Terrestrial Networks) enhancements</w:t>
      </w:r>
      <w:r w:rsidR="005F3395">
        <w:t xml:space="preserve"> 3GPP TSG RAN Meeting #99 Rotterdam/The Netherlands, March 20-23, 2023</w:t>
      </w:r>
      <w:r w:rsidR="005F3395">
        <w:tab/>
      </w:r>
    </w:p>
    <w:p w14:paraId="20EE7DD2" w14:textId="2526DF43" w:rsidR="0086340F" w:rsidRPr="007438C6" w:rsidRDefault="00052A72" w:rsidP="008B1A2A">
      <w:pPr>
        <w:pStyle w:val="ListParagraph"/>
        <w:numPr>
          <w:ilvl w:val="0"/>
          <w:numId w:val="8"/>
        </w:numPr>
        <w:jc w:val="both"/>
      </w:pPr>
      <w:bookmarkStart w:id="0" w:name="_Ref131150281"/>
      <w:r>
        <w:t xml:space="preserve">R2-2301901 </w:t>
      </w:r>
      <w:r w:rsidRPr="00EA2D2A">
        <w:rPr>
          <w:i/>
          <w:iCs/>
        </w:rPr>
        <w:t>Report from Break-out session on NR-NTN, IoT-</w:t>
      </w:r>
      <w:proofErr w:type="gramStart"/>
      <w:r w:rsidRPr="00EA2D2A">
        <w:rPr>
          <w:i/>
          <w:iCs/>
        </w:rPr>
        <w:t>NTN</w:t>
      </w:r>
      <w:proofErr w:type="gramEnd"/>
      <w:r w:rsidRPr="00EA2D2A">
        <w:rPr>
          <w:i/>
          <w:iCs/>
        </w:rPr>
        <w:t xml:space="preserve"> and </w:t>
      </w:r>
      <w:proofErr w:type="spellStart"/>
      <w:r w:rsidRPr="00EA2D2A">
        <w:rPr>
          <w:i/>
          <w:iCs/>
        </w:rPr>
        <w:t>RedCap</w:t>
      </w:r>
      <w:proofErr w:type="spellEnd"/>
      <w:r w:rsidR="00EA2D2A">
        <w:t xml:space="preserve"> 3GPP TSG-RAN WG2 Meeting #121 Athens, Greece, Feb 27th- Mar 3</w:t>
      </w:r>
      <w:r w:rsidR="004A2D9F">
        <w:t>rd</w:t>
      </w:r>
      <w:r w:rsidR="00EA2D2A">
        <w:t>, 2023</w:t>
      </w:r>
      <w:bookmarkEnd w:id="0"/>
    </w:p>
    <w:sectPr w:rsidR="0086340F" w:rsidRPr="007438C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4D160" w14:textId="77777777" w:rsidR="00F941EC" w:rsidRDefault="00F941EC">
      <w:r>
        <w:separator/>
      </w:r>
    </w:p>
  </w:endnote>
  <w:endnote w:type="continuationSeparator" w:id="0">
    <w:p w14:paraId="06866BA3" w14:textId="77777777" w:rsidR="00F941EC" w:rsidRDefault="00F941EC">
      <w:r>
        <w:continuationSeparator/>
      </w:r>
    </w:p>
  </w:endnote>
  <w:endnote w:type="continuationNotice" w:id="1">
    <w:p w14:paraId="29B0F4B6" w14:textId="77777777" w:rsidR="00F941EC" w:rsidRDefault="00F94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06709" w14:textId="77777777" w:rsidR="00F941EC" w:rsidRDefault="00F941EC">
      <w:r>
        <w:separator/>
      </w:r>
    </w:p>
  </w:footnote>
  <w:footnote w:type="continuationSeparator" w:id="0">
    <w:p w14:paraId="3D0BAA0C" w14:textId="77777777" w:rsidR="00F941EC" w:rsidRDefault="00F941EC">
      <w:r>
        <w:continuationSeparator/>
      </w:r>
    </w:p>
  </w:footnote>
  <w:footnote w:type="continuationNotice" w:id="1">
    <w:p w14:paraId="7B312FA8" w14:textId="77777777" w:rsidR="00F941EC" w:rsidRDefault="00F94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A7B63"/>
    <w:multiLevelType w:val="hybridMultilevel"/>
    <w:tmpl w:val="C3C037FC"/>
    <w:lvl w:ilvl="0" w:tplc="61625DA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3380452"/>
    <w:multiLevelType w:val="hybridMultilevel"/>
    <w:tmpl w:val="6EA2DBB4"/>
    <w:lvl w:ilvl="0" w:tplc="0EF2A5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D77175"/>
    <w:multiLevelType w:val="hybridMultilevel"/>
    <w:tmpl w:val="EE5AB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368BE"/>
    <w:multiLevelType w:val="hybridMultilevel"/>
    <w:tmpl w:val="136C5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65A0E6A"/>
    <w:multiLevelType w:val="hybridMultilevel"/>
    <w:tmpl w:val="2324774A"/>
    <w:lvl w:ilvl="0" w:tplc="0809000F">
      <w:start w:val="1"/>
      <w:numFmt w:val="decimal"/>
      <w:lvlText w:val="%1."/>
      <w:lvlJc w:val="left"/>
      <w:pPr>
        <w:ind w:left="720" w:hanging="360"/>
      </w:pPr>
    </w:lvl>
    <w:lvl w:ilvl="1" w:tplc="CE6C9F1A">
      <w:numFmt w:val="bullet"/>
      <w:lvlText w:val="•"/>
      <w:lvlJc w:val="left"/>
      <w:pPr>
        <w:ind w:left="1440" w:hanging="360"/>
      </w:pPr>
      <w:rPr>
        <w:rFonts w:ascii="Arial" w:eastAsia="MS Mincho" w:hAnsi="Arial" w:cs="Aria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D926A2F"/>
    <w:multiLevelType w:val="hybridMultilevel"/>
    <w:tmpl w:val="9FFE5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62581586"/>
    <w:multiLevelType w:val="hybridMultilevel"/>
    <w:tmpl w:val="B2DC313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15:restartNumberingAfterBreak="0">
    <w:nsid w:val="6F456D1E"/>
    <w:multiLevelType w:val="hybridMultilevel"/>
    <w:tmpl w:val="D780E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93200755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009060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3093532">
    <w:abstractNumId w:val="2"/>
  </w:num>
  <w:num w:numId="4" w16cid:durableId="1183285055">
    <w:abstractNumId w:val="10"/>
  </w:num>
  <w:num w:numId="5" w16cid:durableId="1648243130">
    <w:abstractNumId w:val="9"/>
  </w:num>
  <w:num w:numId="6" w16cid:durableId="1529101419">
    <w:abstractNumId w:val="12"/>
  </w:num>
  <w:num w:numId="7" w16cid:durableId="310453445">
    <w:abstractNumId w:val="13"/>
  </w:num>
  <w:num w:numId="8" w16cid:durableId="1090738087">
    <w:abstractNumId w:val="11"/>
  </w:num>
  <w:num w:numId="9" w16cid:durableId="2081755532">
    <w:abstractNumId w:val="21"/>
  </w:num>
  <w:num w:numId="10" w16cid:durableId="1456826289">
    <w:abstractNumId w:val="15"/>
  </w:num>
  <w:num w:numId="11" w16cid:durableId="1140463093">
    <w:abstractNumId w:val="17"/>
  </w:num>
  <w:num w:numId="12" w16cid:durableId="529994715">
    <w:abstractNumId w:val="7"/>
  </w:num>
  <w:num w:numId="13" w16cid:durableId="2109111605">
    <w:abstractNumId w:val="0"/>
  </w:num>
  <w:num w:numId="14" w16cid:durableId="971860244">
    <w:abstractNumId w:val="8"/>
  </w:num>
  <w:num w:numId="15" w16cid:durableId="1777674588">
    <w:abstractNumId w:val="14"/>
  </w:num>
  <w:num w:numId="16" w16cid:durableId="1560633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8113877">
    <w:abstractNumId w:val="16"/>
  </w:num>
  <w:num w:numId="18" w16cid:durableId="767039877">
    <w:abstractNumId w:val="8"/>
  </w:num>
  <w:num w:numId="19" w16cid:durableId="8621301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8412800">
    <w:abstractNumId w:val="6"/>
  </w:num>
  <w:num w:numId="21" w16cid:durableId="1126964880">
    <w:abstractNumId w:val="8"/>
  </w:num>
  <w:num w:numId="22" w16cid:durableId="1118259842">
    <w:abstractNumId w:val="18"/>
    <w:lvlOverride w:ilvl="0">
      <w:startOverride w:val="1"/>
    </w:lvlOverride>
    <w:lvlOverride w:ilvl="1"/>
    <w:lvlOverride w:ilvl="2"/>
    <w:lvlOverride w:ilvl="3"/>
    <w:lvlOverride w:ilvl="4"/>
    <w:lvlOverride w:ilvl="5"/>
    <w:lvlOverride w:ilvl="6"/>
    <w:lvlOverride w:ilvl="7"/>
    <w:lvlOverride w:ilvl="8"/>
  </w:num>
  <w:num w:numId="23" w16cid:durableId="1455060372">
    <w:abstractNumId w:val="20"/>
  </w:num>
  <w:num w:numId="24" w16cid:durableId="1829440631">
    <w:abstractNumId w:val="19"/>
  </w:num>
  <w:num w:numId="25" w16cid:durableId="11265102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tzQGIgNjEyNjAyUdpeDU4uLM/DyQAsNaAPXDdOAsAAAA"/>
  </w:docVars>
  <w:rsids>
    <w:rsidRoot w:val="000B7BCF"/>
    <w:rsid w:val="00004BEF"/>
    <w:rsid w:val="00004C3A"/>
    <w:rsid w:val="00005BAF"/>
    <w:rsid w:val="00006C10"/>
    <w:rsid w:val="00016557"/>
    <w:rsid w:val="0002140D"/>
    <w:rsid w:val="00021ED1"/>
    <w:rsid w:val="00023C40"/>
    <w:rsid w:val="00033397"/>
    <w:rsid w:val="00040095"/>
    <w:rsid w:val="00040CC5"/>
    <w:rsid w:val="00044A7E"/>
    <w:rsid w:val="00047934"/>
    <w:rsid w:val="00050DF3"/>
    <w:rsid w:val="00052A72"/>
    <w:rsid w:val="00053FED"/>
    <w:rsid w:val="0005772F"/>
    <w:rsid w:val="00057E71"/>
    <w:rsid w:val="00063778"/>
    <w:rsid w:val="00065268"/>
    <w:rsid w:val="0006651B"/>
    <w:rsid w:val="00071C8F"/>
    <w:rsid w:val="00071F16"/>
    <w:rsid w:val="00073C9C"/>
    <w:rsid w:val="0007434F"/>
    <w:rsid w:val="0007567A"/>
    <w:rsid w:val="0007636F"/>
    <w:rsid w:val="00076412"/>
    <w:rsid w:val="00080512"/>
    <w:rsid w:val="00090468"/>
    <w:rsid w:val="00090AA9"/>
    <w:rsid w:val="00094568"/>
    <w:rsid w:val="000953B2"/>
    <w:rsid w:val="00097281"/>
    <w:rsid w:val="000A43A7"/>
    <w:rsid w:val="000B292F"/>
    <w:rsid w:val="000B767F"/>
    <w:rsid w:val="000B7BCF"/>
    <w:rsid w:val="000C1AA1"/>
    <w:rsid w:val="000C522B"/>
    <w:rsid w:val="000C7C6E"/>
    <w:rsid w:val="000D29D3"/>
    <w:rsid w:val="000D58AB"/>
    <w:rsid w:val="000D6478"/>
    <w:rsid w:val="000D6B19"/>
    <w:rsid w:val="000E1757"/>
    <w:rsid w:val="000E4A99"/>
    <w:rsid w:val="00103BF1"/>
    <w:rsid w:val="00104EFC"/>
    <w:rsid w:val="00107AD4"/>
    <w:rsid w:val="00110D70"/>
    <w:rsid w:val="001129A3"/>
    <w:rsid w:val="00112F1A"/>
    <w:rsid w:val="00117F27"/>
    <w:rsid w:val="00124030"/>
    <w:rsid w:val="00132080"/>
    <w:rsid w:val="001328B9"/>
    <w:rsid w:val="00133E0B"/>
    <w:rsid w:val="00134C68"/>
    <w:rsid w:val="00135FC3"/>
    <w:rsid w:val="001365C0"/>
    <w:rsid w:val="00136B9A"/>
    <w:rsid w:val="00145038"/>
    <w:rsid w:val="00145075"/>
    <w:rsid w:val="0014684F"/>
    <w:rsid w:val="00146A71"/>
    <w:rsid w:val="00154746"/>
    <w:rsid w:val="001601E6"/>
    <w:rsid w:val="00160A22"/>
    <w:rsid w:val="00163457"/>
    <w:rsid w:val="001667DA"/>
    <w:rsid w:val="001727BC"/>
    <w:rsid w:val="001741A0"/>
    <w:rsid w:val="00175FA0"/>
    <w:rsid w:val="0017760F"/>
    <w:rsid w:val="0018063B"/>
    <w:rsid w:val="00186F07"/>
    <w:rsid w:val="00194CD0"/>
    <w:rsid w:val="00196A92"/>
    <w:rsid w:val="001B13CA"/>
    <w:rsid w:val="001B186A"/>
    <w:rsid w:val="001B49C9"/>
    <w:rsid w:val="001B549A"/>
    <w:rsid w:val="001C1BAC"/>
    <w:rsid w:val="001C23F4"/>
    <w:rsid w:val="001C2733"/>
    <w:rsid w:val="001C4F79"/>
    <w:rsid w:val="001D1694"/>
    <w:rsid w:val="001E1B72"/>
    <w:rsid w:val="001E3EAF"/>
    <w:rsid w:val="001E5866"/>
    <w:rsid w:val="001E637B"/>
    <w:rsid w:val="001F168B"/>
    <w:rsid w:val="001F7831"/>
    <w:rsid w:val="00204045"/>
    <w:rsid w:val="0020712B"/>
    <w:rsid w:val="00207755"/>
    <w:rsid w:val="00207B1E"/>
    <w:rsid w:val="00211CDD"/>
    <w:rsid w:val="00213247"/>
    <w:rsid w:val="0022606D"/>
    <w:rsid w:val="00231728"/>
    <w:rsid w:val="00231C27"/>
    <w:rsid w:val="00232E62"/>
    <w:rsid w:val="0023444A"/>
    <w:rsid w:val="00234560"/>
    <w:rsid w:val="00242D59"/>
    <w:rsid w:val="0024423B"/>
    <w:rsid w:val="00244A05"/>
    <w:rsid w:val="00247BE1"/>
    <w:rsid w:val="00250404"/>
    <w:rsid w:val="002535C4"/>
    <w:rsid w:val="0025490B"/>
    <w:rsid w:val="0025571F"/>
    <w:rsid w:val="002561FE"/>
    <w:rsid w:val="00256B74"/>
    <w:rsid w:val="002610D8"/>
    <w:rsid w:val="00264309"/>
    <w:rsid w:val="00271BAD"/>
    <w:rsid w:val="00272C31"/>
    <w:rsid w:val="002747EC"/>
    <w:rsid w:val="002814B9"/>
    <w:rsid w:val="002855BF"/>
    <w:rsid w:val="00286CAF"/>
    <w:rsid w:val="00291595"/>
    <w:rsid w:val="00292DD1"/>
    <w:rsid w:val="00296161"/>
    <w:rsid w:val="00297217"/>
    <w:rsid w:val="002976ED"/>
    <w:rsid w:val="002A35AA"/>
    <w:rsid w:val="002A690F"/>
    <w:rsid w:val="002B22AA"/>
    <w:rsid w:val="002B2988"/>
    <w:rsid w:val="002B45EC"/>
    <w:rsid w:val="002C33DD"/>
    <w:rsid w:val="002C3AA9"/>
    <w:rsid w:val="002C5966"/>
    <w:rsid w:val="002D5C14"/>
    <w:rsid w:val="002D7C51"/>
    <w:rsid w:val="002E1016"/>
    <w:rsid w:val="002E41E2"/>
    <w:rsid w:val="002F0D22"/>
    <w:rsid w:val="002F2836"/>
    <w:rsid w:val="002F30CE"/>
    <w:rsid w:val="0030033F"/>
    <w:rsid w:val="0030168D"/>
    <w:rsid w:val="00305CC8"/>
    <w:rsid w:val="00310F47"/>
    <w:rsid w:val="00311B17"/>
    <w:rsid w:val="003172DC"/>
    <w:rsid w:val="00320F70"/>
    <w:rsid w:val="00321933"/>
    <w:rsid w:val="00325AE3"/>
    <w:rsid w:val="00326069"/>
    <w:rsid w:val="0032749F"/>
    <w:rsid w:val="00332B83"/>
    <w:rsid w:val="00342481"/>
    <w:rsid w:val="00343325"/>
    <w:rsid w:val="00347760"/>
    <w:rsid w:val="003539FA"/>
    <w:rsid w:val="0035462D"/>
    <w:rsid w:val="003611CB"/>
    <w:rsid w:val="00363A1E"/>
    <w:rsid w:val="0036459E"/>
    <w:rsid w:val="00364B41"/>
    <w:rsid w:val="00375D3C"/>
    <w:rsid w:val="00383096"/>
    <w:rsid w:val="0039346C"/>
    <w:rsid w:val="003A41EF"/>
    <w:rsid w:val="003B026F"/>
    <w:rsid w:val="003B40AD"/>
    <w:rsid w:val="003B718B"/>
    <w:rsid w:val="003C4E37"/>
    <w:rsid w:val="003C7C62"/>
    <w:rsid w:val="003D1188"/>
    <w:rsid w:val="003E0BBE"/>
    <w:rsid w:val="003E16BE"/>
    <w:rsid w:val="003F01B3"/>
    <w:rsid w:val="003F194C"/>
    <w:rsid w:val="003F327E"/>
    <w:rsid w:val="003F4E28"/>
    <w:rsid w:val="003F64AA"/>
    <w:rsid w:val="004006E8"/>
    <w:rsid w:val="0040071B"/>
    <w:rsid w:val="004007AC"/>
    <w:rsid w:val="00401855"/>
    <w:rsid w:val="00413F54"/>
    <w:rsid w:val="00421079"/>
    <w:rsid w:val="004245E6"/>
    <w:rsid w:val="00431A6C"/>
    <w:rsid w:val="0043379D"/>
    <w:rsid w:val="00433EAD"/>
    <w:rsid w:val="004360BD"/>
    <w:rsid w:val="00436168"/>
    <w:rsid w:val="00436C06"/>
    <w:rsid w:val="004377DC"/>
    <w:rsid w:val="00446C3A"/>
    <w:rsid w:val="00450122"/>
    <w:rsid w:val="0045267F"/>
    <w:rsid w:val="004526E2"/>
    <w:rsid w:val="00452F00"/>
    <w:rsid w:val="0046173B"/>
    <w:rsid w:val="00465587"/>
    <w:rsid w:val="0047288A"/>
    <w:rsid w:val="00474AEA"/>
    <w:rsid w:val="00477455"/>
    <w:rsid w:val="00485F89"/>
    <w:rsid w:val="004918C4"/>
    <w:rsid w:val="0049196F"/>
    <w:rsid w:val="00493ABD"/>
    <w:rsid w:val="004A1F7B"/>
    <w:rsid w:val="004A28D9"/>
    <w:rsid w:val="004A2D9F"/>
    <w:rsid w:val="004B4D66"/>
    <w:rsid w:val="004C40AD"/>
    <w:rsid w:val="004C44D2"/>
    <w:rsid w:val="004D3578"/>
    <w:rsid w:val="004D380D"/>
    <w:rsid w:val="004D73D3"/>
    <w:rsid w:val="004E1DCF"/>
    <w:rsid w:val="004E213A"/>
    <w:rsid w:val="004F435D"/>
    <w:rsid w:val="004F4540"/>
    <w:rsid w:val="004F633B"/>
    <w:rsid w:val="004F73A7"/>
    <w:rsid w:val="005030B4"/>
    <w:rsid w:val="00503171"/>
    <w:rsid w:val="00503373"/>
    <w:rsid w:val="00506C28"/>
    <w:rsid w:val="0051184A"/>
    <w:rsid w:val="00511F84"/>
    <w:rsid w:val="0051583B"/>
    <w:rsid w:val="00517AAB"/>
    <w:rsid w:val="00530D6A"/>
    <w:rsid w:val="00534DA0"/>
    <w:rsid w:val="00536E80"/>
    <w:rsid w:val="00540F5C"/>
    <w:rsid w:val="0054251D"/>
    <w:rsid w:val="00543E6C"/>
    <w:rsid w:val="00544A6B"/>
    <w:rsid w:val="00546A06"/>
    <w:rsid w:val="00547458"/>
    <w:rsid w:val="005536D2"/>
    <w:rsid w:val="0055549A"/>
    <w:rsid w:val="00555516"/>
    <w:rsid w:val="00565087"/>
    <w:rsid w:val="0056573F"/>
    <w:rsid w:val="00566276"/>
    <w:rsid w:val="00566794"/>
    <w:rsid w:val="00571279"/>
    <w:rsid w:val="0058045B"/>
    <w:rsid w:val="00583C8D"/>
    <w:rsid w:val="005A13AB"/>
    <w:rsid w:val="005A37F7"/>
    <w:rsid w:val="005A3F40"/>
    <w:rsid w:val="005A49C6"/>
    <w:rsid w:val="005A6717"/>
    <w:rsid w:val="005B462B"/>
    <w:rsid w:val="005B6D9B"/>
    <w:rsid w:val="005C046A"/>
    <w:rsid w:val="005C2D97"/>
    <w:rsid w:val="005C766E"/>
    <w:rsid w:val="005C79D4"/>
    <w:rsid w:val="005C7CD5"/>
    <w:rsid w:val="005F3395"/>
    <w:rsid w:val="005F3F6F"/>
    <w:rsid w:val="005F4216"/>
    <w:rsid w:val="00603937"/>
    <w:rsid w:val="006111A1"/>
    <w:rsid w:val="00611566"/>
    <w:rsid w:val="0062052B"/>
    <w:rsid w:val="006235AE"/>
    <w:rsid w:val="0062361F"/>
    <w:rsid w:val="00626236"/>
    <w:rsid w:val="0062687B"/>
    <w:rsid w:val="006312BE"/>
    <w:rsid w:val="00631B68"/>
    <w:rsid w:val="00632A5C"/>
    <w:rsid w:val="006402B9"/>
    <w:rsid w:val="0064167F"/>
    <w:rsid w:val="00643FD0"/>
    <w:rsid w:val="00645E5F"/>
    <w:rsid w:val="00646D99"/>
    <w:rsid w:val="0065044C"/>
    <w:rsid w:val="006513E9"/>
    <w:rsid w:val="0065389F"/>
    <w:rsid w:val="00656910"/>
    <w:rsid w:val="006574C0"/>
    <w:rsid w:val="00660CA3"/>
    <w:rsid w:val="006626C7"/>
    <w:rsid w:val="00664A20"/>
    <w:rsid w:val="00670F9F"/>
    <w:rsid w:val="006845CD"/>
    <w:rsid w:val="00686109"/>
    <w:rsid w:val="00694C99"/>
    <w:rsid w:val="00696821"/>
    <w:rsid w:val="006A1948"/>
    <w:rsid w:val="006A5C9C"/>
    <w:rsid w:val="006A5F65"/>
    <w:rsid w:val="006A76FF"/>
    <w:rsid w:val="006B5AE2"/>
    <w:rsid w:val="006C66D8"/>
    <w:rsid w:val="006C7606"/>
    <w:rsid w:val="006D1A00"/>
    <w:rsid w:val="006D1E24"/>
    <w:rsid w:val="006D35DE"/>
    <w:rsid w:val="006D4527"/>
    <w:rsid w:val="006D6A69"/>
    <w:rsid w:val="006D7F59"/>
    <w:rsid w:val="006E02B8"/>
    <w:rsid w:val="006E1057"/>
    <w:rsid w:val="006E126A"/>
    <w:rsid w:val="006E1417"/>
    <w:rsid w:val="006E181C"/>
    <w:rsid w:val="006E21CB"/>
    <w:rsid w:val="006F6A2C"/>
    <w:rsid w:val="00701AA0"/>
    <w:rsid w:val="00704BB4"/>
    <w:rsid w:val="0070540F"/>
    <w:rsid w:val="007069DC"/>
    <w:rsid w:val="00710201"/>
    <w:rsid w:val="0071265B"/>
    <w:rsid w:val="0072073A"/>
    <w:rsid w:val="007256F7"/>
    <w:rsid w:val="00725CE6"/>
    <w:rsid w:val="0072775B"/>
    <w:rsid w:val="00731201"/>
    <w:rsid w:val="00733379"/>
    <w:rsid w:val="007342B5"/>
    <w:rsid w:val="00734A5B"/>
    <w:rsid w:val="00737ABE"/>
    <w:rsid w:val="0074167F"/>
    <w:rsid w:val="007438C6"/>
    <w:rsid w:val="00744E76"/>
    <w:rsid w:val="00746B24"/>
    <w:rsid w:val="007534FE"/>
    <w:rsid w:val="007540DF"/>
    <w:rsid w:val="00755286"/>
    <w:rsid w:val="00757D40"/>
    <w:rsid w:val="00760FB6"/>
    <w:rsid w:val="00764D3E"/>
    <w:rsid w:val="007662B5"/>
    <w:rsid w:val="00770E94"/>
    <w:rsid w:val="007751E1"/>
    <w:rsid w:val="0077623B"/>
    <w:rsid w:val="007771C2"/>
    <w:rsid w:val="00781F0F"/>
    <w:rsid w:val="00782F2B"/>
    <w:rsid w:val="00785F71"/>
    <w:rsid w:val="0078727C"/>
    <w:rsid w:val="0079049D"/>
    <w:rsid w:val="00793DC5"/>
    <w:rsid w:val="007956E4"/>
    <w:rsid w:val="00795D9B"/>
    <w:rsid w:val="00796823"/>
    <w:rsid w:val="00796CE1"/>
    <w:rsid w:val="007A0D43"/>
    <w:rsid w:val="007A1300"/>
    <w:rsid w:val="007A2E55"/>
    <w:rsid w:val="007A3F75"/>
    <w:rsid w:val="007A4740"/>
    <w:rsid w:val="007B18D8"/>
    <w:rsid w:val="007B4230"/>
    <w:rsid w:val="007C095F"/>
    <w:rsid w:val="007C0D1C"/>
    <w:rsid w:val="007C18FF"/>
    <w:rsid w:val="007C2DD0"/>
    <w:rsid w:val="007C6368"/>
    <w:rsid w:val="007D7A85"/>
    <w:rsid w:val="007E0AF7"/>
    <w:rsid w:val="007E54B4"/>
    <w:rsid w:val="007F2E08"/>
    <w:rsid w:val="00802493"/>
    <w:rsid w:val="008024FA"/>
    <w:rsid w:val="008028A4"/>
    <w:rsid w:val="00804CF3"/>
    <w:rsid w:val="008069EC"/>
    <w:rsid w:val="00813245"/>
    <w:rsid w:val="00813931"/>
    <w:rsid w:val="00814028"/>
    <w:rsid w:val="008159EC"/>
    <w:rsid w:val="00832E14"/>
    <w:rsid w:val="00833AC9"/>
    <w:rsid w:val="00837BBD"/>
    <w:rsid w:val="00840C07"/>
    <w:rsid w:val="00840DE0"/>
    <w:rsid w:val="00847CD0"/>
    <w:rsid w:val="0085451A"/>
    <w:rsid w:val="008607A8"/>
    <w:rsid w:val="0086340F"/>
    <w:rsid w:val="0086354A"/>
    <w:rsid w:val="00863CAA"/>
    <w:rsid w:val="008704AA"/>
    <w:rsid w:val="00872925"/>
    <w:rsid w:val="008768CA"/>
    <w:rsid w:val="0087694C"/>
    <w:rsid w:val="00877EF9"/>
    <w:rsid w:val="00880559"/>
    <w:rsid w:val="00881DE2"/>
    <w:rsid w:val="0088318D"/>
    <w:rsid w:val="0088698C"/>
    <w:rsid w:val="00891D57"/>
    <w:rsid w:val="00896D90"/>
    <w:rsid w:val="008A41D5"/>
    <w:rsid w:val="008A460A"/>
    <w:rsid w:val="008B1A2A"/>
    <w:rsid w:val="008B2F7D"/>
    <w:rsid w:val="008B5306"/>
    <w:rsid w:val="008B54E8"/>
    <w:rsid w:val="008B6881"/>
    <w:rsid w:val="008C2E2A"/>
    <w:rsid w:val="008C3057"/>
    <w:rsid w:val="008D1E78"/>
    <w:rsid w:val="008D2E4D"/>
    <w:rsid w:val="008D41AD"/>
    <w:rsid w:val="008D65C1"/>
    <w:rsid w:val="008E1229"/>
    <w:rsid w:val="008E22CD"/>
    <w:rsid w:val="008E4057"/>
    <w:rsid w:val="008E656B"/>
    <w:rsid w:val="008E710F"/>
    <w:rsid w:val="008E75F3"/>
    <w:rsid w:val="008E7644"/>
    <w:rsid w:val="008F396F"/>
    <w:rsid w:val="008F3DCD"/>
    <w:rsid w:val="0090271F"/>
    <w:rsid w:val="00902DB9"/>
    <w:rsid w:val="0090466A"/>
    <w:rsid w:val="00906E87"/>
    <w:rsid w:val="00913D66"/>
    <w:rsid w:val="00916BBE"/>
    <w:rsid w:val="00923655"/>
    <w:rsid w:val="00923DA9"/>
    <w:rsid w:val="00924DB8"/>
    <w:rsid w:val="00926766"/>
    <w:rsid w:val="00927D9C"/>
    <w:rsid w:val="00927FCD"/>
    <w:rsid w:val="009311AD"/>
    <w:rsid w:val="00931B9F"/>
    <w:rsid w:val="009339CB"/>
    <w:rsid w:val="00936071"/>
    <w:rsid w:val="009376CD"/>
    <w:rsid w:val="00940212"/>
    <w:rsid w:val="009402D0"/>
    <w:rsid w:val="009406F1"/>
    <w:rsid w:val="0094231E"/>
    <w:rsid w:val="00942AF8"/>
    <w:rsid w:val="00942EC2"/>
    <w:rsid w:val="0095051C"/>
    <w:rsid w:val="009520AC"/>
    <w:rsid w:val="00953FDA"/>
    <w:rsid w:val="009603BA"/>
    <w:rsid w:val="009613ED"/>
    <w:rsid w:val="00961B32"/>
    <w:rsid w:val="00962509"/>
    <w:rsid w:val="00970DB3"/>
    <w:rsid w:val="009736E7"/>
    <w:rsid w:val="00974BB0"/>
    <w:rsid w:val="00975BCD"/>
    <w:rsid w:val="00987265"/>
    <w:rsid w:val="009928A9"/>
    <w:rsid w:val="00993D2F"/>
    <w:rsid w:val="009A0AF3"/>
    <w:rsid w:val="009A13C7"/>
    <w:rsid w:val="009A2A35"/>
    <w:rsid w:val="009A7A65"/>
    <w:rsid w:val="009B07CD"/>
    <w:rsid w:val="009B08FF"/>
    <w:rsid w:val="009B33D9"/>
    <w:rsid w:val="009B4617"/>
    <w:rsid w:val="009B4E1E"/>
    <w:rsid w:val="009B521A"/>
    <w:rsid w:val="009B7CDC"/>
    <w:rsid w:val="009C19E9"/>
    <w:rsid w:val="009C1FFB"/>
    <w:rsid w:val="009C395B"/>
    <w:rsid w:val="009C6D8C"/>
    <w:rsid w:val="009C7412"/>
    <w:rsid w:val="009C794A"/>
    <w:rsid w:val="009D084C"/>
    <w:rsid w:val="009D4670"/>
    <w:rsid w:val="009D5930"/>
    <w:rsid w:val="009D641D"/>
    <w:rsid w:val="009D74A6"/>
    <w:rsid w:val="009D789D"/>
    <w:rsid w:val="009D7912"/>
    <w:rsid w:val="009E07AF"/>
    <w:rsid w:val="009E0E87"/>
    <w:rsid w:val="009E1568"/>
    <w:rsid w:val="009E5B0E"/>
    <w:rsid w:val="009F297E"/>
    <w:rsid w:val="009F2C67"/>
    <w:rsid w:val="00A02671"/>
    <w:rsid w:val="00A10F02"/>
    <w:rsid w:val="00A1621B"/>
    <w:rsid w:val="00A16FF4"/>
    <w:rsid w:val="00A17176"/>
    <w:rsid w:val="00A204CA"/>
    <w:rsid w:val="00A209D6"/>
    <w:rsid w:val="00A22738"/>
    <w:rsid w:val="00A27157"/>
    <w:rsid w:val="00A27F8A"/>
    <w:rsid w:val="00A30DCF"/>
    <w:rsid w:val="00A35CB7"/>
    <w:rsid w:val="00A35D86"/>
    <w:rsid w:val="00A36F5F"/>
    <w:rsid w:val="00A37168"/>
    <w:rsid w:val="00A430EC"/>
    <w:rsid w:val="00A45AC0"/>
    <w:rsid w:val="00A51873"/>
    <w:rsid w:val="00A52843"/>
    <w:rsid w:val="00A535C2"/>
    <w:rsid w:val="00A53724"/>
    <w:rsid w:val="00A54B2B"/>
    <w:rsid w:val="00A562A7"/>
    <w:rsid w:val="00A61167"/>
    <w:rsid w:val="00A63CA0"/>
    <w:rsid w:val="00A6697F"/>
    <w:rsid w:val="00A67F3F"/>
    <w:rsid w:val="00A703B6"/>
    <w:rsid w:val="00A70C1B"/>
    <w:rsid w:val="00A710B3"/>
    <w:rsid w:val="00A756C7"/>
    <w:rsid w:val="00A76002"/>
    <w:rsid w:val="00A77A30"/>
    <w:rsid w:val="00A82346"/>
    <w:rsid w:val="00A9671C"/>
    <w:rsid w:val="00AA09CB"/>
    <w:rsid w:val="00AA1553"/>
    <w:rsid w:val="00AA465B"/>
    <w:rsid w:val="00AB4ED6"/>
    <w:rsid w:val="00AB7929"/>
    <w:rsid w:val="00AC2887"/>
    <w:rsid w:val="00AD0D2E"/>
    <w:rsid w:val="00AD3F1B"/>
    <w:rsid w:val="00AD71E1"/>
    <w:rsid w:val="00AE0C5D"/>
    <w:rsid w:val="00AE3258"/>
    <w:rsid w:val="00AF72C6"/>
    <w:rsid w:val="00B03740"/>
    <w:rsid w:val="00B04692"/>
    <w:rsid w:val="00B05380"/>
    <w:rsid w:val="00B05962"/>
    <w:rsid w:val="00B0603E"/>
    <w:rsid w:val="00B121CE"/>
    <w:rsid w:val="00B13D66"/>
    <w:rsid w:val="00B14553"/>
    <w:rsid w:val="00B15449"/>
    <w:rsid w:val="00B166B8"/>
    <w:rsid w:val="00B16C2F"/>
    <w:rsid w:val="00B24C5F"/>
    <w:rsid w:val="00B25D79"/>
    <w:rsid w:val="00B27303"/>
    <w:rsid w:val="00B34971"/>
    <w:rsid w:val="00B477B0"/>
    <w:rsid w:val="00B47FD1"/>
    <w:rsid w:val="00B5104D"/>
    <w:rsid w:val="00B516BB"/>
    <w:rsid w:val="00B544EC"/>
    <w:rsid w:val="00B62882"/>
    <w:rsid w:val="00B709A0"/>
    <w:rsid w:val="00B70C6C"/>
    <w:rsid w:val="00B72E9F"/>
    <w:rsid w:val="00B7538C"/>
    <w:rsid w:val="00B81A75"/>
    <w:rsid w:val="00B84DB2"/>
    <w:rsid w:val="00B93113"/>
    <w:rsid w:val="00B948A7"/>
    <w:rsid w:val="00B9634E"/>
    <w:rsid w:val="00B976AB"/>
    <w:rsid w:val="00BA1DEC"/>
    <w:rsid w:val="00BB125D"/>
    <w:rsid w:val="00BB602A"/>
    <w:rsid w:val="00BB65DA"/>
    <w:rsid w:val="00BC3555"/>
    <w:rsid w:val="00BD2A0F"/>
    <w:rsid w:val="00BE314F"/>
    <w:rsid w:val="00BF1755"/>
    <w:rsid w:val="00BF26C9"/>
    <w:rsid w:val="00BF3FD5"/>
    <w:rsid w:val="00BF41E8"/>
    <w:rsid w:val="00BF636B"/>
    <w:rsid w:val="00BF74AD"/>
    <w:rsid w:val="00C10B52"/>
    <w:rsid w:val="00C12B51"/>
    <w:rsid w:val="00C1387B"/>
    <w:rsid w:val="00C15442"/>
    <w:rsid w:val="00C16633"/>
    <w:rsid w:val="00C176C2"/>
    <w:rsid w:val="00C232C1"/>
    <w:rsid w:val="00C24650"/>
    <w:rsid w:val="00C25465"/>
    <w:rsid w:val="00C3063B"/>
    <w:rsid w:val="00C308F6"/>
    <w:rsid w:val="00C33079"/>
    <w:rsid w:val="00C33BB4"/>
    <w:rsid w:val="00C43687"/>
    <w:rsid w:val="00C5158F"/>
    <w:rsid w:val="00C5259B"/>
    <w:rsid w:val="00C52AA9"/>
    <w:rsid w:val="00C55A12"/>
    <w:rsid w:val="00C6553E"/>
    <w:rsid w:val="00C663CB"/>
    <w:rsid w:val="00C66C50"/>
    <w:rsid w:val="00C67B58"/>
    <w:rsid w:val="00C75241"/>
    <w:rsid w:val="00C759BF"/>
    <w:rsid w:val="00C83A13"/>
    <w:rsid w:val="00C86F10"/>
    <w:rsid w:val="00C9068C"/>
    <w:rsid w:val="00C91B75"/>
    <w:rsid w:val="00C92967"/>
    <w:rsid w:val="00CA2397"/>
    <w:rsid w:val="00CA335B"/>
    <w:rsid w:val="00CA3D0C"/>
    <w:rsid w:val="00CA654B"/>
    <w:rsid w:val="00CA79D2"/>
    <w:rsid w:val="00CB49EC"/>
    <w:rsid w:val="00CB72B8"/>
    <w:rsid w:val="00CB756D"/>
    <w:rsid w:val="00CC3B37"/>
    <w:rsid w:val="00CC70B4"/>
    <w:rsid w:val="00CC717B"/>
    <w:rsid w:val="00CC7863"/>
    <w:rsid w:val="00CD0BA8"/>
    <w:rsid w:val="00CD4C7B"/>
    <w:rsid w:val="00CD58FE"/>
    <w:rsid w:val="00CD6F22"/>
    <w:rsid w:val="00CD7766"/>
    <w:rsid w:val="00CE2C24"/>
    <w:rsid w:val="00CF0728"/>
    <w:rsid w:val="00CF2A80"/>
    <w:rsid w:val="00CF2BF6"/>
    <w:rsid w:val="00CF2CEC"/>
    <w:rsid w:val="00CF5775"/>
    <w:rsid w:val="00D060B0"/>
    <w:rsid w:val="00D16DF4"/>
    <w:rsid w:val="00D21865"/>
    <w:rsid w:val="00D31CB6"/>
    <w:rsid w:val="00D334C7"/>
    <w:rsid w:val="00D33BE3"/>
    <w:rsid w:val="00D3792D"/>
    <w:rsid w:val="00D4052A"/>
    <w:rsid w:val="00D40AF6"/>
    <w:rsid w:val="00D41596"/>
    <w:rsid w:val="00D42A4B"/>
    <w:rsid w:val="00D50C57"/>
    <w:rsid w:val="00D52BE2"/>
    <w:rsid w:val="00D55A19"/>
    <w:rsid w:val="00D55E47"/>
    <w:rsid w:val="00D61A05"/>
    <w:rsid w:val="00D62E19"/>
    <w:rsid w:val="00D62FF4"/>
    <w:rsid w:val="00D648FA"/>
    <w:rsid w:val="00D67CD1"/>
    <w:rsid w:val="00D704A3"/>
    <w:rsid w:val="00D709DF"/>
    <w:rsid w:val="00D73010"/>
    <w:rsid w:val="00D738D6"/>
    <w:rsid w:val="00D80795"/>
    <w:rsid w:val="00D821D9"/>
    <w:rsid w:val="00D8454D"/>
    <w:rsid w:val="00D85034"/>
    <w:rsid w:val="00D854BE"/>
    <w:rsid w:val="00D87E00"/>
    <w:rsid w:val="00D9134D"/>
    <w:rsid w:val="00D91425"/>
    <w:rsid w:val="00D92833"/>
    <w:rsid w:val="00D92ABC"/>
    <w:rsid w:val="00D96D11"/>
    <w:rsid w:val="00DA3B55"/>
    <w:rsid w:val="00DA40B5"/>
    <w:rsid w:val="00DA6C19"/>
    <w:rsid w:val="00DA7A03"/>
    <w:rsid w:val="00DB0277"/>
    <w:rsid w:val="00DB0DB8"/>
    <w:rsid w:val="00DB1818"/>
    <w:rsid w:val="00DB1B0E"/>
    <w:rsid w:val="00DB1CE4"/>
    <w:rsid w:val="00DB2A29"/>
    <w:rsid w:val="00DB60E3"/>
    <w:rsid w:val="00DC2039"/>
    <w:rsid w:val="00DC309B"/>
    <w:rsid w:val="00DC3C86"/>
    <w:rsid w:val="00DC4DA2"/>
    <w:rsid w:val="00DC5261"/>
    <w:rsid w:val="00DC6F91"/>
    <w:rsid w:val="00DC7E49"/>
    <w:rsid w:val="00DD2B07"/>
    <w:rsid w:val="00DD5271"/>
    <w:rsid w:val="00DE1CA0"/>
    <w:rsid w:val="00DE25D2"/>
    <w:rsid w:val="00DE2752"/>
    <w:rsid w:val="00DE57BF"/>
    <w:rsid w:val="00DE77BD"/>
    <w:rsid w:val="00DF7C20"/>
    <w:rsid w:val="00E011EB"/>
    <w:rsid w:val="00E028F6"/>
    <w:rsid w:val="00E06CCB"/>
    <w:rsid w:val="00E1535A"/>
    <w:rsid w:val="00E175FF"/>
    <w:rsid w:val="00E2036A"/>
    <w:rsid w:val="00E23684"/>
    <w:rsid w:val="00E26E78"/>
    <w:rsid w:val="00E34282"/>
    <w:rsid w:val="00E365D9"/>
    <w:rsid w:val="00E36F23"/>
    <w:rsid w:val="00E40B8C"/>
    <w:rsid w:val="00E41325"/>
    <w:rsid w:val="00E42E11"/>
    <w:rsid w:val="00E46C08"/>
    <w:rsid w:val="00E471CF"/>
    <w:rsid w:val="00E517CD"/>
    <w:rsid w:val="00E62835"/>
    <w:rsid w:val="00E70EA3"/>
    <w:rsid w:val="00E719C4"/>
    <w:rsid w:val="00E72289"/>
    <w:rsid w:val="00E74489"/>
    <w:rsid w:val="00E77645"/>
    <w:rsid w:val="00E83697"/>
    <w:rsid w:val="00E83845"/>
    <w:rsid w:val="00E859B6"/>
    <w:rsid w:val="00E93198"/>
    <w:rsid w:val="00EA2D2A"/>
    <w:rsid w:val="00EA3342"/>
    <w:rsid w:val="00EA53B7"/>
    <w:rsid w:val="00EA66C9"/>
    <w:rsid w:val="00EA6D34"/>
    <w:rsid w:val="00EB0747"/>
    <w:rsid w:val="00EB235B"/>
    <w:rsid w:val="00EB5D32"/>
    <w:rsid w:val="00EB7285"/>
    <w:rsid w:val="00EB7BD4"/>
    <w:rsid w:val="00EC23D8"/>
    <w:rsid w:val="00EC3920"/>
    <w:rsid w:val="00EC4A25"/>
    <w:rsid w:val="00EC5238"/>
    <w:rsid w:val="00EC6CF1"/>
    <w:rsid w:val="00ED35D9"/>
    <w:rsid w:val="00EE44AF"/>
    <w:rsid w:val="00EE4C97"/>
    <w:rsid w:val="00EE71D7"/>
    <w:rsid w:val="00EF2D93"/>
    <w:rsid w:val="00EF37A7"/>
    <w:rsid w:val="00EF612C"/>
    <w:rsid w:val="00EF767E"/>
    <w:rsid w:val="00F025A2"/>
    <w:rsid w:val="00F036E9"/>
    <w:rsid w:val="00F06B67"/>
    <w:rsid w:val="00F07388"/>
    <w:rsid w:val="00F101BF"/>
    <w:rsid w:val="00F179AF"/>
    <w:rsid w:val="00F17DEB"/>
    <w:rsid w:val="00F2026E"/>
    <w:rsid w:val="00F2210A"/>
    <w:rsid w:val="00F266F3"/>
    <w:rsid w:val="00F30B99"/>
    <w:rsid w:val="00F31372"/>
    <w:rsid w:val="00F34809"/>
    <w:rsid w:val="00F3499E"/>
    <w:rsid w:val="00F360FC"/>
    <w:rsid w:val="00F366BD"/>
    <w:rsid w:val="00F37743"/>
    <w:rsid w:val="00F37A8B"/>
    <w:rsid w:val="00F44B86"/>
    <w:rsid w:val="00F45F5D"/>
    <w:rsid w:val="00F503D8"/>
    <w:rsid w:val="00F52821"/>
    <w:rsid w:val="00F54A3D"/>
    <w:rsid w:val="00F54CB0"/>
    <w:rsid w:val="00F579CD"/>
    <w:rsid w:val="00F610C1"/>
    <w:rsid w:val="00F653B8"/>
    <w:rsid w:val="00F710EB"/>
    <w:rsid w:val="00F71B10"/>
    <w:rsid w:val="00F71B89"/>
    <w:rsid w:val="00F71D95"/>
    <w:rsid w:val="00F724D2"/>
    <w:rsid w:val="00F7353C"/>
    <w:rsid w:val="00F743E4"/>
    <w:rsid w:val="00F76F8F"/>
    <w:rsid w:val="00F84501"/>
    <w:rsid w:val="00F87257"/>
    <w:rsid w:val="00F87B9B"/>
    <w:rsid w:val="00F907F2"/>
    <w:rsid w:val="00F941DF"/>
    <w:rsid w:val="00F941EC"/>
    <w:rsid w:val="00FA1266"/>
    <w:rsid w:val="00FA1B39"/>
    <w:rsid w:val="00FA1EB6"/>
    <w:rsid w:val="00FA26F3"/>
    <w:rsid w:val="00FA4F0F"/>
    <w:rsid w:val="00FA70B0"/>
    <w:rsid w:val="00FA7D0B"/>
    <w:rsid w:val="00FB06B1"/>
    <w:rsid w:val="00FB36FA"/>
    <w:rsid w:val="00FB4730"/>
    <w:rsid w:val="00FC027C"/>
    <w:rsid w:val="00FC1192"/>
    <w:rsid w:val="00FC230A"/>
    <w:rsid w:val="00FC7A91"/>
    <w:rsid w:val="00FD125B"/>
    <w:rsid w:val="00FD5864"/>
    <w:rsid w:val="00FE084B"/>
    <w:rsid w:val="00FE0AD3"/>
    <w:rsid w:val="00FE106D"/>
    <w:rsid w:val="00FE1348"/>
    <w:rsid w:val="00FE251B"/>
    <w:rsid w:val="00FE4C50"/>
    <w:rsid w:val="00FF209B"/>
    <w:rsid w:val="00FF573D"/>
    <w:rsid w:val="1C10E52C"/>
    <w:rsid w:val="2E971AF9"/>
    <w:rsid w:val="3DFC2D92"/>
    <w:rsid w:val="4DCCB7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80CF27C-A9F2-4FF4-85A9-96C36093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25571F"/>
    <w:pPr>
      <w:ind w:left="720"/>
      <w:contextualSpacing/>
    </w:pPr>
  </w:style>
  <w:style w:type="table" w:styleId="TableGrid">
    <w:name w:val="Table Grid"/>
    <w:basedOn w:val="TableNormal"/>
    <w:uiPriority w:val="39"/>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customStyle="1" w:styleId="Heading1Char">
    <w:name w:val="Heading 1 Char"/>
    <w:basedOn w:val="DefaultParagraphFont"/>
    <w:link w:val="Heading1"/>
    <w:rsid w:val="00A51873"/>
    <w:rPr>
      <w:rFonts w:ascii="Arial" w:hAnsi="Arial"/>
      <w:sz w:val="36"/>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A51873"/>
    <w:rPr>
      <w:lang w:eastAsia="en-US"/>
    </w:rPr>
  </w:style>
  <w:style w:type="paragraph" w:customStyle="1" w:styleId="Doc-comment">
    <w:name w:val="Doc-comment"/>
    <w:basedOn w:val="Normal"/>
    <w:next w:val="Normal"/>
    <w:qFormat/>
    <w:rsid w:val="006312BE"/>
    <w:pPr>
      <w:tabs>
        <w:tab w:val="left" w:pos="1622"/>
      </w:tabs>
      <w:spacing w:after="0"/>
      <w:ind w:left="1622" w:hanging="363"/>
    </w:pPr>
    <w:rPr>
      <w:rFonts w:ascii="Arial" w:eastAsia="MS Mincho" w:hAnsi="Arial"/>
      <w:i/>
      <w:szCs w:val="24"/>
      <w:lang w:eastAsia="en-GB"/>
    </w:rPr>
  </w:style>
  <w:style w:type="character" w:styleId="Mention">
    <w:name w:val="Mention"/>
    <w:basedOn w:val="DefaultParagraphFont"/>
    <w:uiPriority w:val="99"/>
    <w:unhideWhenUsed/>
    <w:rsid w:val="009F2C67"/>
    <w:rPr>
      <w:color w:val="2B579A"/>
      <w:shd w:val="clear" w:color="auto" w:fill="E1DFDD"/>
    </w:rPr>
  </w:style>
  <w:style w:type="character" w:styleId="SmartLink">
    <w:name w:val="Smart Link"/>
    <w:basedOn w:val="DefaultParagraphFont"/>
    <w:uiPriority w:val="99"/>
    <w:semiHidden/>
    <w:unhideWhenUsed/>
    <w:rsid w:val="00286CAF"/>
    <w:rPr>
      <w:color w:val="0000FF"/>
      <w:u w:val="single"/>
      <w:shd w:val="clear" w:color="auto" w:fill="F3F2F1"/>
    </w:rPr>
  </w:style>
  <w:style w:type="paragraph" w:styleId="Revision">
    <w:name w:val="Revision"/>
    <w:hidden/>
    <w:uiPriority w:val="99"/>
    <w:semiHidden/>
    <w:rsid w:val="00B166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06773">
      <w:bodyDiv w:val="1"/>
      <w:marLeft w:val="0"/>
      <w:marRight w:val="0"/>
      <w:marTop w:val="0"/>
      <w:marBottom w:val="0"/>
      <w:divBdr>
        <w:top w:val="none" w:sz="0" w:space="0" w:color="auto"/>
        <w:left w:val="none" w:sz="0" w:space="0" w:color="auto"/>
        <w:bottom w:val="none" w:sz="0" w:space="0" w:color="auto"/>
        <w:right w:val="none" w:sz="0" w:space="0" w:color="auto"/>
      </w:divBdr>
    </w:div>
    <w:div w:id="170681844">
      <w:bodyDiv w:val="1"/>
      <w:marLeft w:val="0"/>
      <w:marRight w:val="0"/>
      <w:marTop w:val="0"/>
      <w:marBottom w:val="0"/>
      <w:divBdr>
        <w:top w:val="none" w:sz="0" w:space="0" w:color="auto"/>
        <w:left w:val="none" w:sz="0" w:space="0" w:color="auto"/>
        <w:bottom w:val="none" w:sz="0" w:space="0" w:color="auto"/>
        <w:right w:val="none" w:sz="0" w:space="0" w:color="auto"/>
      </w:divBdr>
    </w:div>
    <w:div w:id="215049929">
      <w:bodyDiv w:val="1"/>
      <w:marLeft w:val="0"/>
      <w:marRight w:val="0"/>
      <w:marTop w:val="0"/>
      <w:marBottom w:val="0"/>
      <w:divBdr>
        <w:top w:val="none" w:sz="0" w:space="0" w:color="auto"/>
        <w:left w:val="none" w:sz="0" w:space="0" w:color="auto"/>
        <w:bottom w:val="none" w:sz="0" w:space="0" w:color="auto"/>
        <w:right w:val="none" w:sz="0" w:space="0" w:color="auto"/>
      </w:divBdr>
    </w:div>
    <w:div w:id="540552104">
      <w:bodyDiv w:val="1"/>
      <w:marLeft w:val="0"/>
      <w:marRight w:val="0"/>
      <w:marTop w:val="0"/>
      <w:marBottom w:val="0"/>
      <w:divBdr>
        <w:top w:val="none" w:sz="0" w:space="0" w:color="auto"/>
        <w:left w:val="none" w:sz="0" w:space="0" w:color="auto"/>
        <w:bottom w:val="none" w:sz="0" w:space="0" w:color="auto"/>
        <w:right w:val="none" w:sz="0" w:space="0" w:color="auto"/>
      </w:divBdr>
    </w:div>
    <w:div w:id="8491765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5886671">
      <w:bodyDiv w:val="1"/>
      <w:marLeft w:val="0"/>
      <w:marRight w:val="0"/>
      <w:marTop w:val="0"/>
      <w:marBottom w:val="0"/>
      <w:divBdr>
        <w:top w:val="none" w:sz="0" w:space="0" w:color="auto"/>
        <w:left w:val="none" w:sz="0" w:space="0" w:color="auto"/>
        <w:bottom w:val="none" w:sz="0" w:space="0" w:color="auto"/>
        <w:right w:val="none" w:sz="0" w:space="0" w:color="auto"/>
      </w:divBdr>
    </w:div>
    <w:div w:id="1177768303">
      <w:bodyDiv w:val="1"/>
      <w:marLeft w:val="0"/>
      <w:marRight w:val="0"/>
      <w:marTop w:val="0"/>
      <w:marBottom w:val="0"/>
      <w:divBdr>
        <w:top w:val="none" w:sz="0" w:space="0" w:color="auto"/>
        <w:left w:val="none" w:sz="0" w:space="0" w:color="auto"/>
        <w:bottom w:val="none" w:sz="0" w:space="0" w:color="auto"/>
        <w:right w:val="none" w:sz="0" w:space="0" w:color="auto"/>
      </w:divBdr>
    </w:div>
    <w:div w:id="12130793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6293924">
      <w:bodyDiv w:val="1"/>
      <w:marLeft w:val="0"/>
      <w:marRight w:val="0"/>
      <w:marTop w:val="0"/>
      <w:marBottom w:val="0"/>
      <w:divBdr>
        <w:top w:val="none" w:sz="0" w:space="0" w:color="auto"/>
        <w:left w:val="none" w:sz="0" w:space="0" w:color="auto"/>
        <w:bottom w:val="none" w:sz="0" w:space="0" w:color="auto"/>
        <w:right w:val="none" w:sz="0" w:space="0" w:color="auto"/>
      </w:divBdr>
    </w:div>
    <w:div w:id="1602685041">
      <w:bodyDiv w:val="1"/>
      <w:marLeft w:val="0"/>
      <w:marRight w:val="0"/>
      <w:marTop w:val="0"/>
      <w:marBottom w:val="0"/>
      <w:divBdr>
        <w:top w:val="none" w:sz="0" w:space="0" w:color="auto"/>
        <w:left w:val="none" w:sz="0" w:space="0" w:color="auto"/>
        <w:bottom w:val="none" w:sz="0" w:space="0" w:color="auto"/>
        <w:right w:val="none" w:sz="0" w:space="0" w:color="auto"/>
      </w:divBdr>
    </w:div>
    <w:div w:id="1612279377">
      <w:bodyDiv w:val="1"/>
      <w:marLeft w:val="0"/>
      <w:marRight w:val="0"/>
      <w:marTop w:val="0"/>
      <w:marBottom w:val="0"/>
      <w:divBdr>
        <w:top w:val="none" w:sz="0" w:space="0" w:color="auto"/>
        <w:left w:val="none" w:sz="0" w:space="0" w:color="auto"/>
        <w:bottom w:val="none" w:sz="0" w:space="0" w:color="auto"/>
        <w:right w:val="none" w:sz="0" w:space="0" w:color="auto"/>
      </w:divBdr>
    </w:div>
    <w:div w:id="1742486520">
      <w:bodyDiv w:val="1"/>
      <w:marLeft w:val="0"/>
      <w:marRight w:val="0"/>
      <w:marTop w:val="0"/>
      <w:marBottom w:val="0"/>
      <w:divBdr>
        <w:top w:val="none" w:sz="0" w:space="0" w:color="auto"/>
        <w:left w:val="none" w:sz="0" w:space="0" w:color="auto"/>
        <w:bottom w:val="none" w:sz="0" w:space="0" w:color="auto"/>
        <w:right w:val="none" w:sz="0" w:space="0" w:color="auto"/>
      </w:divBdr>
    </w:div>
    <w:div w:id="1760639793">
      <w:bodyDiv w:val="1"/>
      <w:marLeft w:val="0"/>
      <w:marRight w:val="0"/>
      <w:marTop w:val="0"/>
      <w:marBottom w:val="0"/>
      <w:divBdr>
        <w:top w:val="none" w:sz="0" w:space="0" w:color="auto"/>
        <w:left w:val="none" w:sz="0" w:space="0" w:color="auto"/>
        <w:bottom w:val="none" w:sz="0" w:space="0" w:color="auto"/>
        <w:right w:val="none" w:sz="0" w:space="0" w:color="auto"/>
      </w:divBdr>
    </w:div>
    <w:div w:id="1860316493">
      <w:bodyDiv w:val="1"/>
      <w:marLeft w:val="0"/>
      <w:marRight w:val="0"/>
      <w:marTop w:val="0"/>
      <w:marBottom w:val="0"/>
      <w:divBdr>
        <w:top w:val="none" w:sz="0" w:space="0" w:color="auto"/>
        <w:left w:val="none" w:sz="0" w:space="0" w:color="auto"/>
        <w:bottom w:val="none" w:sz="0" w:space="0" w:color="auto"/>
        <w:right w:val="none" w:sz="0" w:space="0" w:color="auto"/>
      </w:divBdr>
    </w:div>
    <w:div w:id="1863592833">
      <w:bodyDiv w:val="1"/>
      <w:marLeft w:val="0"/>
      <w:marRight w:val="0"/>
      <w:marTop w:val="0"/>
      <w:marBottom w:val="0"/>
      <w:divBdr>
        <w:top w:val="none" w:sz="0" w:space="0" w:color="auto"/>
        <w:left w:val="none" w:sz="0" w:space="0" w:color="auto"/>
        <w:bottom w:val="none" w:sz="0" w:space="0" w:color="auto"/>
        <w:right w:val="none" w:sz="0" w:space="0" w:color="auto"/>
      </w:divBdr>
      <w:divsChild>
        <w:div w:id="643389016">
          <w:marLeft w:val="634"/>
          <w:marRight w:val="0"/>
          <w:marTop w:val="0"/>
          <w:marBottom w:val="80"/>
          <w:divBdr>
            <w:top w:val="none" w:sz="0" w:space="0" w:color="auto"/>
            <w:left w:val="none" w:sz="0" w:space="0" w:color="auto"/>
            <w:bottom w:val="none" w:sz="0" w:space="0" w:color="auto"/>
            <w:right w:val="none" w:sz="0" w:space="0" w:color="auto"/>
          </w:divBdr>
        </w:div>
        <w:div w:id="806699713">
          <w:marLeft w:val="634"/>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5AIRPNAIUNRU-859666464-13738</_dlc_DocId>
    <_dlc_DocIdUrl xmlns="71c5aaf6-e6ce-465b-b873-5148d2a4c105">
      <Url>https://nokia.sharepoint.com/sites/c5g/e2earch/_layouts/15/DocIdRedir.aspx?ID=5AIRPNAIUNRU-859666464-13738</Url>
      <Description>5AIRPNAIUNRU-859666464-13738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a3840f4f-04be-43d1-b2ef-6ff1382503c7"/>
    <ds:schemaRef ds:uri="http://purl.org/dc/elements/1.1/"/>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3b34c8f0-1ef5-4d1e-bb66-517ce7fe7356"/>
    <ds:schemaRef ds:uri="83f22d2f-d16e-4be6-ad4f-29fa0b067c3c"/>
    <ds:schemaRef ds:uri="http://purl.org/dc/dcmitype/"/>
    <ds:schemaRef ds:uri="71c5aaf6-e6ce-465b-b873-5148d2a4c10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51713AEB-8320-4103-897D-6006D06810A1}">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3</Pages>
  <Words>1287</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8411</CharactersWithSpaces>
  <SharedDoc>false</SharedDoc>
  <HyperlinkBase/>
  <HLinks>
    <vt:vector size="18" baseType="variant">
      <vt:variant>
        <vt:i4>8257602</vt:i4>
      </vt:variant>
      <vt:variant>
        <vt:i4>6</vt:i4>
      </vt:variant>
      <vt:variant>
        <vt:i4>0</vt:i4>
      </vt:variant>
      <vt:variant>
        <vt:i4>5</vt:i4>
      </vt:variant>
      <vt:variant>
        <vt:lpwstr>https://www.3gpp.org/ftp/tsg_ran/WG2_RL2/TSGR2_121/Docs/R2-2300147.zip</vt:lpwstr>
      </vt:variant>
      <vt:variant>
        <vt:lpwstr/>
      </vt:variant>
      <vt:variant>
        <vt:i4>3866708</vt:i4>
      </vt:variant>
      <vt:variant>
        <vt:i4>3</vt:i4>
      </vt:variant>
      <vt:variant>
        <vt:i4>0</vt:i4>
      </vt:variant>
      <vt:variant>
        <vt:i4>5</vt:i4>
      </vt:variant>
      <vt:variant>
        <vt:lpwstr>mailto:sandra.hoppe@nokia.com</vt:lpwstr>
      </vt:variant>
      <vt:variant>
        <vt:lpwstr/>
      </vt:variant>
      <vt:variant>
        <vt:i4>3866708</vt:i4>
      </vt:variant>
      <vt:variant>
        <vt:i4>0</vt:i4>
      </vt:variant>
      <vt:variant>
        <vt:i4>0</vt:i4>
      </vt:variant>
      <vt:variant>
        <vt:i4>5</vt:i4>
      </vt:variant>
      <vt:variant>
        <vt:lpwstr>mailto:sandra.hoppe@nokia.com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604</cp:revision>
  <dcterms:created xsi:type="dcterms:W3CDTF">2016-08-13T07:53:00Z</dcterms:created>
  <dcterms:modified xsi:type="dcterms:W3CDTF">2023-04-07T08:58:00Z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0f49ecdd-2b16-42e2-9cc6-73dfb4eb8d13</vt:lpwstr>
  </property>
</Properties>
</file>